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3A253A" w:rsidRPr="007D7E0B" w:rsidTr="00AB72E0">
        <w:tc>
          <w:tcPr>
            <w:tcW w:w="8525" w:type="dxa"/>
            <w:gridSpan w:val="2"/>
            <w:tcBorders>
              <w:bottom w:val="single" w:sz="18" w:space="0" w:color="auto"/>
            </w:tcBorders>
          </w:tcPr>
          <w:p w:rsidR="003A253A" w:rsidRDefault="003A253A" w:rsidP="00AB72E0">
            <w:pPr>
              <w:pStyle w:val="Infotext"/>
              <w:rPr>
                <w:rFonts w:ascii="Arial Black" w:hAnsi="Arial Black"/>
                <w:color w:val="999999"/>
                <w:sz w:val="36"/>
                <w:szCs w:val="36"/>
              </w:rPr>
            </w:pPr>
          </w:p>
          <w:p w:rsidR="003A253A" w:rsidRDefault="00CB373D" w:rsidP="00AB72E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3A253A" w:rsidRDefault="003A253A" w:rsidP="00AB72E0">
            <w:pPr>
              <w:pStyle w:val="Infotext"/>
              <w:rPr>
                <w:rFonts w:ascii="Arial Black" w:hAnsi="Arial Black" w:cs="Arial"/>
                <w:sz w:val="36"/>
                <w:szCs w:val="36"/>
              </w:rPr>
            </w:pPr>
          </w:p>
        </w:tc>
      </w:tr>
      <w:tr w:rsidR="006A233E">
        <w:tc>
          <w:tcPr>
            <w:tcW w:w="3474" w:type="dxa"/>
            <w:tcBorders>
              <w:bottom w:val="single" w:sz="18" w:space="0" w:color="auto"/>
            </w:tcBorders>
          </w:tcPr>
          <w:p w:rsidR="006A233E" w:rsidRPr="00911565" w:rsidRDefault="00911565">
            <w:pPr>
              <w:pStyle w:val="Infotext"/>
              <w:rPr>
                <w:rFonts w:ascii="Arial Black" w:hAnsi="Arial Black"/>
                <w:color w:val="999999"/>
                <w:sz w:val="36"/>
                <w:szCs w:val="36"/>
              </w:rPr>
            </w:pPr>
            <w:r w:rsidRPr="00911565">
              <w:rPr>
                <w:rFonts w:ascii="Arial Black" w:hAnsi="Arial Black"/>
                <w:color w:val="999999"/>
                <w:sz w:val="36"/>
                <w:szCs w:val="36"/>
              </w:rPr>
              <w:t>R</w:t>
            </w:r>
            <w:r>
              <w:rPr>
                <w:rFonts w:ascii="Arial Black" w:hAnsi="Arial Black"/>
                <w:color w:val="999999"/>
                <w:sz w:val="36"/>
                <w:szCs w:val="36"/>
              </w:rPr>
              <w:t>EPORT FOR</w:t>
            </w:r>
            <w:r w:rsidR="006A233E" w:rsidRPr="00911565">
              <w:rPr>
                <w:rFonts w:ascii="Arial Black" w:hAnsi="Arial Black"/>
                <w:color w:val="999999"/>
                <w:sz w:val="36"/>
                <w:szCs w:val="36"/>
              </w:rPr>
              <w:t>:</w:t>
            </w:r>
          </w:p>
          <w:p w:rsidR="006A233E" w:rsidRPr="00911565" w:rsidRDefault="006A233E">
            <w:pPr>
              <w:pStyle w:val="Infotext"/>
              <w:rPr>
                <w:rFonts w:ascii="Arial Black" w:hAnsi="Arial Black" w:cs="Arial"/>
                <w:sz w:val="36"/>
                <w:szCs w:val="36"/>
              </w:rPr>
            </w:pPr>
          </w:p>
        </w:tc>
        <w:tc>
          <w:tcPr>
            <w:tcW w:w="5051" w:type="dxa"/>
            <w:tcBorders>
              <w:bottom w:val="single" w:sz="18" w:space="0" w:color="auto"/>
            </w:tcBorders>
          </w:tcPr>
          <w:p w:rsidR="006A233E" w:rsidRPr="00911565" w:rsidRDefault="00911565">
            <w:pPr>
              <w:pStyle w:val="Infotext"/>
              <w:rPr>
                <w:rFonts w:ascii="Arial Black" w:hAnsi="Arial Black" w:cs="Arial"/>
                <w:sz w:val="36"/>
                <w:szCs w:val="36"/>
              </w:rPr>
            </w:pPr>
            <w:r w:rsidRPr="00911565">
              <w:rPr>
                <w:rFonts w:ascii="Arial Black" w:hAnsi="Arial Black" w:cs="Arial"/>
                <w:sz w:val="36"/>
                <w:szCs w:val="36"/>
              </w:rPr>
              <w:t>LICENSING PANEL</w:t>
            </w:r>
          </w:p>
        </w:tc>
      </w:tr>
      <w:tr w:rsidR="006A233E">
        <w:tc>
          <w:tcPr>
            <w:tcW w:w="3474" w:type="dxa"/>
            <w:tcBorders>
              <w:top w:val="single" w:sz="18" w:space="0" w:color="auto"/>
            </w:tcBorders>
          </w:tcPr>
          <w:p w:rsidR="006A233E" w:rsidRPr="00911565" w:rsidRDefault="006A233E">
            <w:pPr>
              <w:pStyle w:val="Infotext"/>
              <w:rPr>
                <w:rFonts w:ascii="Arial Black" w:hAnsi="Arial Black"/>
              </w:rPr>
            </w:pPr>
            <w:r w:rsidRPr="00911565">
              <w:rPr>
                <w:rFonts w:ascii="Arial Black" w:hAnsi="Arial Black"/>
              </w:rPr>
              <w:t>Date</w:t>
            </w:r>
            <w:r w:rsidR="0002728A">
              <w:rPr>
                <w:rFonts w:ascii="Arial Black" w:hAnsi="Arial Black"/>
              </w:rPr>
              <w:t xml:space="preserve"> of Meeting</w:t>
            </w:r>
            <w:r w:rsidRPr="00911565">
              <w:rPr>
                <w:rFonts w:ascii="Arial Black" w:hAnsi="Arial Black"/>
              </w:rPr>
              <w:t>:</w:t>
            </w:r>
          </w:p>
          <w:p w:rsidR="006A233E" w:rsidRPr="00911565" w:rsidRDefault="006A233E">
            <w:pPr>
              <w:pStyle w:val="Infotext"/>
              <w:rPr>
                <w:rFonts w:ascii="Arial Black" w:hAnsi="Arial Black" w:cs="Arial"/>
              </w:rPr>
            </w:pPr>
          </w:p>
        </w:tc>
        <w:tc>
          <w:tcPr>
            <w:tcW w:w="5051" w:type="dxa"/>
            <w:tcBorders>
              <w:top w:val="single" w:sz="18" w:space="0" w:color="auto"/>
            </w:tcBorders>
          </w:tcPr>
          <w:p w:rsidR="006A233E" w:rsidRDefault="00A02289">
            <w:pPr>
              <w:pStyle w:val="Infotext"/>
              <w:rPr>
                <w:rFonts w:cs="Arial"/>
              </w:rPr>
            </w:pPr>
            <w:r>
              <w:rPr>
                <w:rFonts w:cs="Arial"/>
              </w:rPr>
              <w:t>22 January 2020</w:t>
            </w: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Subject:</w:t>
            </w:r>
          </w:p>
          <w:p w:rsidR="006A233E" w:rsidRPr="00911565" w:rsidRDefault="006A233E">
            <w:pPr>
              <w:pStyle w:val="Infotext"/>
              <w:rPr>
                <w:rFonts w:ascii="Arial Black" w:hAnsi="Arial Black"/>
              </w:rPr>
            </w:pPr>
          </w:p>
        </w:tc>
        <w:tc>
          <w:tcPr>
            <w:tcW w:w="5051" w:type="dxa"/>
          </w:tcPr>
          <w:p w:rsidR="009264CB" w:rsidRDefault="009264CB" w:rsidP="009264CB">
            <w:pPr>
              <w:pStyle w:val="Infotext"/>
            </w:pPr>
            <w:r>
              <w:t xml:space="preserve">Application for review of the premises licence for </w:t>
            </w:r>
            <w:r w:rsidR="00A02289">
              <w:t>Mr Sushi, 152 Station Road, Harrow, Middlesex, HA1 2RH</w:t>
            </w:r>
          </w:p>
          <w:p w:rsidR="006A233E" w:rsidRDefault="006A233E">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Responsible Officer:</w:t>
            </w:r>
          </w:p>
          <w:p w:rsidR="006A233E" w:rsidRPr="00911565" w:rsidRDefault="006A233E">
            <w:pPr>
              <w:pStyle w:val="Infotext"/>
              <w:rPr>
                <w:rFonts w:ascii="Arial Black" w:hAnsi="Arial Black" w:cs="Arial"/>
              </w:rPr>
            </w:pPr>
          </w:p>
        </w:tc>
        <w:tc>
          <w:tcPr>
            <w:tcW w:w="5051" w:type="dxa"/>
          </w:tcPr>
          <w:p w:rsidR="002C0FCA" w:rsidRPr="00D4343B" w:rsidRDefault="00D4343B" w:rsidP="003C37F3">
            <w:pPr>
              <w:pStyle w:val="Infotext"/>
              <w:rPr>
                <w:rFonts w:cs="Arial"/>
              </w:rPr>
            </w:pPr>
            <w:r>
              <w:rPr>
                <w:rFonts w:cs="Arial"/>
              </w:rPr>
              <w:t>Mi</w:t>
            </w:r>
            <w:r w:rsidR="003C37F3">
              <w:rPr>
                <w:rFonts w:cs="Arial"/>
              </w:rPr>
              <w:t>chael</w:t>
            </w:r>
            <w:r>
              <w:rPr>
                <w:rFonts w:cs="Arial"/>
              </w:rPr>
              <w:t xml:space="preserve"> Butler – Divisional Director Environment</w:t>
            </w: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Exempt:</w:t>
            </w:r>
          </w:p>
          <w:p w:rsidR="006A233E" w:rsidRPr="00911565" w:rsidRDefault="006A233E">
            <w:pPr>
              <w:pStyle w:val="Infotext"/>
              <w:rPr>
                <w:rFonts w:ascii="Arial Black" w:hAnsi="Arial Black" w:cs="Arial"/>
              </w:rPr>
            </w:pPr>
          </w:p>
        </w:tc>
        <w:tc>
          <w:tcPr>
            <w:tcW w:w="5051" w:type="dxa"/>
          </w:tcPr>
          <w:p w:rsidR="00DE06F1" w:rsidRPr="00DE06F1" w:rsidRDefault="006A233E" w:rsidP="00DE06F1">
            <w:pPr>
              <w:pStyle w:val="Infotext"/>
              <w:rPr>
                <w:rFonts w:cs="Arial"/>
                <w:szCs w:val="28"/>
              </w:rPr>
            </w:pPr>
            <w:r w:rsidRPr="00DE06F1">
              <w:rPr>
                <w:rFonts w:cs="Arial"/>
                <w:szCs w:val="28"/>
              </w:rPr>
              <w:t>No</w:t>
            </w:r>
            <w:r w:rsidR="00DE06F1" w:rsidRPr="00DE06F1">
              <w:rPr>
                <w:rFonts w:cs="Arial"/>
                <w:szCs w:val="28"/>
              </w:rPr>
              <w:t xml:space="preserve"> except for appendices 1, 1a, 1b and 4</w:t>
            </w:r>
            <w:r w:rsidR="00DE06F1" w:rsidRPr="00DE06F1">
              <w:rPr>
                <w:szCs w:val="28"/>
              </w:rPr>
              <w:t xml:space="preserve"> </w:t>
            </w:r>
            <w:r w:rsidR="00DE06F1" w:rsidRPr="00DE06F1">
              <w:rPr>
                <w:rFonts w:cs="Arial"/>
                <w:szCs w:val="28"/>
              </w:rPr>
              <w:t>which are exempt under paragraph 7 of Part 1 of Schedule 12A to the Local Government Act 1972 (as amended) in that it contains information relating to any action taken or to be taken in connection with the prevention, investigation or prosecution of crime</w:t>
            </w:r>
            <w:r w:rsidR="00DE06F1">
              <w:rPr>
                <w:rFonts w:cs="Arial"/>
                <w:szCs w:val="28"/>
              </w:rPr>
              <w:t>.</w:t>
            </w:r>
          </w:p>
          <w:p w:rsidR="006A233E" w:rsidRDefault="006A233E">
            <w:pPr>
              <w:pStyle w:val="Infotext"/>
              <w:rPr>
                <w:rFonts w:cs="Arial"/>
              </w:rPr>
            </w:pPr>
          </w:p>
          <w:p w:rsidR="006A233E" w:rsidRDefault="006A233E" w:rsidP="009264CB">
            <w:pPr>
              <w:pStyle w:val="Infotext"/>
              <w:rPr>
                <w:rFonts w:cs="Arial"/>
              </w:rPr>
            </w:pPr>
          </w:p>
        </w:tc>
      </w:tr>
      <w:tr w:rsidR="008652B2">
        <w:tc>
          <w:tcPr>
            <w:tcW w:w="3474" w:type="dxa"/>
          </w:tcPr>
          <w:p w:rsidR="008652B2" w:rsidRDefault="008652B2">
            <w:pPr>
              <w:pStyle w:val="Infotext"/>
              <w:rPr>
                <w:rFonts w:ascii="Arial Black" w:hAnsi="Arial Black" w:cs="Arial"/>
              </w:rPr>
            </w:pPr>
            <w:r>
              <w:rPr>
                <w:rFonts w:ascii="Arial Black" w:hAnsi="Arial Black" w:cs="Arial"/>
              </w:rPr>
              <w:t>Wards affected:</w:t>
            </w:r>
          </w:p>
          <w:p w:rsidR="008652B2" w:rsidRPr="00911565" w:rsidRDefault="008652B2">
            <w:pPr>
              <w:pStyle w:val="Infotext"/>
              <w:rPr>
                <w:rFonts w:ascii="Arial Black" w:hAnsi="Arial Black" w:cs="Arial"/>
              </w:rPr>
            </w:pPr>
          </w:p>
        </w:tc>
        <w:tc>
          <w:tcPr>
            <w:tcW w:w="5051" w:type="dxa"/>
          </w:tcPr>
          <w:p w:rsidR="00587AB5" w:rsidRDefault="009F6391" w:rsidP="00A02289">
            <w:pPr>
              <w:pStyle w:val="Infotext"/>
            </w:pPr>
            <w:r>
              <w:t>Greenhill</w:t>
            </w: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Enclosures:</w:t>
            </w:r>
          </w:p>
          <w:p w:rsidR="006A233E" w:rsidRPr="00911565" w:rsidRDefault="006A233E">
            <w:pPr>
              <w:pStyle w:val="Infotext"/>
              <w:rPr>
                <w:rFonts w:ascii="Arial Black" w:hAnsi="Arial Black" w:cs="Arial"/>
              </w:rPr>
            </w:pPr>
          </w:p>
        </w:tc>
        <w:tc>
          <w:tcPr>
            <w:tcW w:w="5051" w:type="dxa"/>
          </w:tcPr>
          <w:p w:rsidR="00CB6B7C" w:rsidRDefault="00A02289" w:rsidP="000443C5">
            <w:pPr>
              <w:pStyle w:val="Infotext"/>
            </w:pPr>
            <w:r w:rsidRPr="00FD2D72">
              <w:rPr>
                <w:b/>
              </w:rPr>
              <w:t>Appendix 1</w:t>
            </w:r>
            <w:r>
              <w:t xml:space="preserve">: </w:t>
            </w:r>
            <w:r w:rsidR="009264CB">
              <w:t xml:space="preserve">Application for review </w:t>
            </w:r>
            <w:r w:rsidR="009264CB">
              <w:br/>
            </w:r>
            <w:r w:rsidR="00CB6B7C" w:rsidRPr="00FD2D72">
              <w:rPr>
                <w:b/>
              </w:rPr>
              <w:t>Appendix 1a</w:t>
            </w:r>
            <w:r w:rsidR="00CB6B7C">
              <w:t xml:space="preserve">: Home Office – Supporting Witness Statement </w:t>
            </w:r>
            <w:r w:rsidR="00CB6B7C" w:rsidRPr="00FD2D72">
              <w:rPr>
                <w:b/>
              </w:rPr>
              <w:t>Appendix 1b</w:t>
            </w:r>
            <w:r w:rsidR="00CB6B7C">
              <w:t xml:space="preserve"> </w:t>
            </w:r>
            <w:r>
              <w:t xml:space="preserve">: </w:t>
            </w:r>
            <w:r w:rsidR="00CB6B7C">
              <w:t xml:space="preserve">Home Office – Supporting Witness Statement </w:t>
            </w:r>
          </w:p>
          <w:p w:rsidR="00AC2D51" w:rsidRDefault="00CB6B7C" w:rsidP="000443C5">
            <w:pPr>
              <w:pStyle w:val="Infotext"/>
            </w:pPr>
            <w:r w:rsidRPr="00FD2D72">
              <w:rPr>
                <w:b/>
              </w:rPr>
              <w:t>Appendix 2</w:t>
            </w:r>
            <w:r>
              <w:t xml:space="preserve">: Current premises licence and plan </w:t>
            </w:r>
            <w:r w:rsidR="009264CB">
              <w:br/>
            </w:r>
            <w:r w:rsidR="00A02289" w:rsidRPr="00FD2D72">
              <w:rPr>
                <w:b/>
              </w:rPr>
              <w:t>Appendix 3</w:t>
            </w:r>
            <w:r w:rsidR="00A02289">
              <w:t xml:space="preserve">: </w:t>
            </w:r>
            <w:r>
              <w:t>Location map and Site</w:t>
            </w:r>
            <w:r w:rsidR="009C2FDF">
              <w:t xml:space="preserve"> Photo</w:t>
            </w:r>
            <w:r w:rsidR="000443C5">
              <w:t xml:space="preserve"> </w:t>
            </w:r>
            <w:r w:rsidR="009264CB">
              <w:br/>
            </w:r>
            <w:r w:rsidR="00A02289" w:rsidRPr="00FD2D72">
              <w:rPr>
                <w:b/>
              </w:rPr>
              <w:t>Appendix 4</w:t>
            </w:r>
            <w:r w:rsidR="00A02289">
              <w:t xml:space="preserve">: </w:t>
            </w:r>
            <w:r w:rsidR="009264CB">
              <w:t>Representation</w:t>
            </w:r>
            <w:r w:rsidR="009C2FDF">
              <w:t xml:space="preserve"> - </w:t>
            </w:r>
            <w:r w:rsidR="00AC2D51">
              <w:t xml:space="preserve">Metropolitan Police Service </w:t>
            </w:r>
          </w:p>
          <w:p w:rsidR="00BB7A89" w:rsidRDefault="009C2FDF" w:rsidP="000443C5">
            <w:pPr>
              <w:pStyle w:val="Infotext"/>
            </w:pPr>
            <w:r w:rsidRPr="00FD2D72">
              <w:rPr>
                <w:b/>
              </w:rPr>
              <w:t>Appendix 5</w:t>
            </w:r>
            <w:r>
              <w:t xml:space="preserve">: </w:t>
            </w:r>
            <w:r w:rsidR="00FD2D72">
              <w:t>Representation</w:t>
            </w:r>
            <w:r>
              <w:t xml:space="preserve"> - </w:t>
            </w:r>
            <w:r w:rsidR="00AC2D51">
              <w:t>Licensing Authority</w:t>
            </w:r>
          </w:p>
          <w:p w:rsidR="009C2FDF" w:rsidRDefault="009C2FDF" w:rsidP="00A02289">
            <w:pPr>
              <w:pStyle w:val="Infotext"/>
            </w:pPr>
            <w:r w:rsidRPr="00FD2D72">
              <w:rPr>
                <w:b/>
              </w:rPr>
              <w:t>Appendix 6</w:t>
            </w:r>
            <w:r w:rsidR="00A02289">
              <w:t xml:space="preserve">: </w:t>
            </w:r>
            <w:r>
              <w:t xml:space="preserve">Licensing Inspection </w:t>
            </w:r>
            <w:r w:rsidR="00FD2D72">
              <w:t>Correspondence</w:t>
            </w:r>
          </w:p>
          <w:p w:rsidR="009C2FDF" w:rsidRDefault="009C2FDF" w:rsidP="00A02289">
            <w:pPr>
              <w:pStyle w:val="Infotext"/>
            </w:pPr>
            <w:r w:rsidRPr="00FD2D72">
              <w:rPr>
                <w:b/>
              </w:rPr>
              <w:lastRenderedPageBreak/>
              <w:t>Appendix 7</w:t>
            </w:r>
            <w:r>
              <w:t xml:space="preserve">: </w:t>
            </w:r>
            <w:r w:rsidR="004F6585">
              <w:t xml:space="preserve">S19 </w:t>
            </w:r>
            <w:r w:rsidR="00FD2D72">
              <w:t>Closure</w:t>
            </w:r>
            <w:r>
              <w:t xml:space="preserve"> Notice</w:t>
            </w:r>
          </w:p>
          <w:p w:rsidR="006A233E" w:rsidRDefault="009C2FDF" w:rsidP="00A02289">
            <w:pPr>
              <w:pStyle w:val="Infotext"/>
            </w:pPr>
            <w:r w:rsidRPr="00FD2D72">
              <w:rPr>
                <w:b/>
              </w:rPr>
              <w:t>Appendix 8</w:t>
            </w:r>
            <w:r>
              <w:t xml:space="preserve">: </w:t>
            </w:r>
            <w:r w:rsidR="0075644A">
              <w:t xml:space="preserve">Relevant </w:t>
            </w:r>
            <w:r w:rsidR="00A55D41">
              <w:t>S182 - S</w:t>
            </w:r>
            <w:r w:rsidR="00BB7A89">
              <w:t xml:space="preserve">tatutory </w:t>
            </w:r>
            <w:r w:rsidR="00A55D41">
              <w:t xml:space="preserve">Licensing </w:t>
            </w:r>
            <w:r w:rsidR="00BB7A89">
              <w:t xml:space="preserve">guidance </w:t>
            </w:r>
            <w:r w:rsidRPr="00FD2D72">
              <w:rPr>
                <w:b/>
              </w:rPr>
              <w:t>Appendix 9</w:t>
            </w:r>
            <w:r w:rsidR="00A02289">
              <w:t xml:space="preserve">: </w:t>
            </w:r>
            <w:r w:rsidR="00BB7A89">
              <w:t>Relevant sections of l</w:t>
            </w:r>
            <w:r w:rsidR="009264CB">
              <w:t>icen</w:t>
            </w:r>
            <w:r w:rsidR="00BB7A89">
              <w:t xml:space="preserve">ce review guidelines from the licensing policy  </w:t>
            </w:r>
          </w:p>
          <w:p w:rsidR="00FD2D72" w:rsidRDefault="00FD2D72" w:rsidP="00A02289">
            <w:pPr>
              <w:pStyle w:val="Infotext"/>
            </w:pPr>
          </w:p>
        </w:tc>
      </w:tr>
    </w:tbl>
    <w:p w:rsidR="006A233E" w:rsidRDefault="006A233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034B71">
        <w:tc>
          <w:tcPr>
            <w:tcW w:w="8525" w:type="dxa"/>
            <w:tcBorders>
              <w:top w:val="nil"/>
              <w:left w:val="nil"/>
              <w:right w:val="nil"/>
            </w:tcBorders>
          </w:tcPr>
          <w:p w:rsidR="00034B71" w:rsidRPr="00FD2D72" w:rsidRDefault="00034B71" w:rsidP="00034B71">
            <w:pPr>
              <w:pStyle w:val="Heading1"/>
              <w:rPr>
                <w:b/>
                <w:u w:val="single"/>
              </w:rPr>
            </w:pPr>
            <w:r w:rsidRPr="00FD2D72">
              <w:rPr>
                <w:b/>
                <w:u w:val="single"/>
              </w:rPr>
              <w:t>Section 1 – Summary</w:t>
            </w:r>
          </w:p>
          <w:p w:rsidR="00034B71" w:rsidRDefault="00034B71"/>
        </w:tc>
      </w:tr>
      <w:tr w:rsidR="006A233E">
        <w:tc>
          <w:tcPr>
            <w:tcW w:w="8525" w:type="dxa"/>
          </w:tcPr>
          <w:p w:rsidR="006A233E" w:rsidRPr="00FD2D72" w:rsidRDefault="00804B6F" w:rsidP="00804B6F">
            <w:pPr>
              <w:pStyle w:val="Heading2"/>
              <w:rPr>
                <w:szCs w:val="28"/>
              </w:rPr>
            </w:pPr>
            <w:r w:rsidRPr="00FD2D72">
              <w:rPr>
                <w:bCs w:val="0"/>
                <w:szCs w:val="28"/>
              </w:rPr>
              <w:t xml:space="preserve">To determine an application for a review of a Premises Licence in respect of Mr Sushi, 152 Station Road, Harrow, HA1 2RH.  The application for review has been submitted by Home Officer (Immigration Enforcement) acting act as responsible authority under the Licensing Act 2003 </w:t>
            </w:r>
          </w:p>
        </w:tc>
      </w:tr>
    </w:tbl>
    <w:p w:rsidR="00FD2D72" w:rsidRDefault="00FD2D72">
      <w:pPr>
        <w:pStyle w:val="Heading1"/>
        <w:jc w:val="both"/>
        <w:rPr>
          <w:rFonts w:ascii="Arial" w:hAnsi="Arial" w:cs="Times New Roman"/>
          <w:bCs w:val="0"/>
          <w:sz w:val="24"/>
          <w:szCs w:val="20"/>
        </w:rPr>
      </w:pPr>
    </w:p>
    <w:p w:rsidR="006A233E" w:rsidRPr="00FD2D72" w:rsidRDefault="006A233E">
      <w:pPr>
        <w:pStyle w:val="Heading1"/>
        <w:jc w:val="both"/>
        <w:rPr>
          <w:u w:val="single"/>
        </w:rPr>
      </w:pPr>
      <w:r w:rsidRPr="00FD2D72">
        <w:rPr>
          <w:u w:val="single"/>
        </w:rPr>
        <w:t xml:space="preserve">Section 2 – </w:t>
      </w:r>
      <w:r w:rsidR="00AD66FD" w:rsidRPr="00FD2D72">
        <w:rPr>
          <w:u w:val="single"/>
        </w:rPr>
        <w:t>Application</w:t>
      </w:r>
    </w:p>
    <w:p w:rsidR="00CB373D" w:rsidRPr="00CB373D" w:rsidRDefault="00CB373D" w:rsidP="00CB373D"/>
    <w:p w:rsidR="009F4F49" w:rsidRPr="003235D1" w:rsidRDefault="00AD66FD" w:rsidP="00FD2D72">
      <w:pPr>
        <w:pStyle w:val="BodyTextIndent"/>
        <w:spacing w:after="0"/>
        <w:ind w:left="0"/>
      </w:pPr>
      <w:r w:rsidRPr="003235D1">
        <w:rPr>
          <w:rFonts w:cs="Arial"/>
        </w:rPr>
        <w:t xml:space="preserve">2.1 </w:t>
      </w:r>
      <w:r w:rsidR="009F4F49" w:rsidRPr="003235D1">
        <w:rPr>
          <w:rFonts w:cs="Arial"/>
          <w:u w:val="single"/>
        </w:rPr>
        <w:t>Name of the Premises Licence Holder</w:t>
      </w:r>
      <w:r w:rsidR="009F4F49" w:rsidRPr="003235D1">
        <w:rPr>
          <w:rFonts w:cs="Arial"/>
        </w:rPr>
        <w:t xml:space="preserve"> </w:t>
      </w:r>
    </w:p>
    <w:p w:rsidR="009F4F49" w:rsidRDefault="009F4F49" w:rsidP="00FD2D72">
      <w:pPr>
        <w:pStyle w:val="BodyTextIndent"/>
        <w:spacing w:after="0"/>
        <w:ind w:left="720"/>
        <w:rPr>
          <w:rFonts w:cs="Arial"/>
        </w:rPr>
      </w:pPr>
    </w:p>
    <w:p w:rsidR="00CB373D" w:rsidRDefault="009F4F49" w:rsidP="009A7188">
      <w:pPr>
        <w:ind w:firstLine="720"/>
      </w:pPr>
      <w:r>
        <w:t>Li Hua Tian, 410 Ealing Road, Wembley, HA0 1JQ</w:t>
      </w:r>
    </w:p>
    <w:p w:rsidR="00FD2D72" w:rsidRDefault="00FD2D72" w:rsidP="00FD2D72">
      <w:pPr>
        <w:pStyle w:val="ListParagraph"/>
        <w:ind w:left="0" w:firstLine="426"/>
        <w:rPr>
          <w:u w:val="single"/>
        </w:rPr>
      </w:pPr>
    </w:p>
    <w:p w:rsidR="00AD66FD" w:rsidRPr="003235D1" w:rsidRDefault="00FD2D72" w:rsidP="00FD2D72">
      <w:pPr>
        <w:pStyle w:val="BodyTextIndent"/>
        <w:spacing w:after="0"/>
        <w:ind w:left="0"/>
      </w:pPr>
      <w:r w:rsidRPr="003235D1">
        <w:t xml:space="preserve">2.2 </w:t>
      </w:r>
      <w:r w:rsidR="009F4F49" w:rsidRPr="003235D1">
        <w:rPr>
          <w:u w:val="single"/>
        </w:rPr>
        <w:t xml:space="preserve">Type of application </w:t>
      </w:r>
      <w:r w:rsidR="00CD3212" w:rsidRPr="003235D1">
        <w:rPr>
          <w:u w:val="single"/>
        </w:rPr>
        <w:t>applied for</w:t>
      </w:r>
    </w:p>
    <w:p w:rsidR="00AD66FD" w:rsidRDefault="00AD66FD" w:rsidP="00FD2D72">
      <w:pPr>
        <w:pStyle w:val="BodyTextIndent"/>
        <w:spacing w:after="0"/>
        <w:ind w:left="720"/>
      </w:pPr>
    </w:p>
    <w:p w:rsidR="00CD3212" w:rsidRPr="00FD2D72" w:rsidRDefault="00CD3212" w:rsidP="009A7188">
      <w:pPr>
        <w:pStyle w:val="BodyTextIndent"/>
        <w:spacing w:after="0"/>
        <w:ind w:left="720"/>
        <w:jc w:val="both"/>
      </w:pPr>
      <w:proofErr w:type="gramStart"/>
      <w:r w:rsidRPr="003235D1">
        <w:t>An application for a review of premises licence for Mr Sushi Restaurant, 152 Station Road, Harrow, HA1 2RH</w:t>
      </w:r>
      <w:r w:rsidR="00AD66FD" w:rsidRPr="003235D1">
        <w:t xml:space="preserve">, submitted by Home Office </w:t>
      </w:r>
      <w:r w:rsidR="003235D1" w:rsidRPr="003235D1">
        <w:t>Enforcement</w:t>
      </w:r>
      <w:r w:rsidR="00AD66FD" w:rsidRPr="003235D1">
        <w:t xml:space="preserve"> acting as a responsible authority under the Licensing Act 2003</w:t>
      </w:r>
      <w:r w:rsidR="00A55D41">
        <w:t>.</w:t>
      </w:r>
      <w:proofErr w:type="gramEnd"/>
    </w:p>
    <w:p w:rsidR="00CB373D" w:rsidRDefault="00CB373D" w:rsidP="00033F05">
      <w:pPr>
        <w:pStyle w:val="ListParagraph"/>
      </w:pPr>
    </w:p>
    <w:p w:rsidR="00AD66FD" w:rsidRDefault="00A41CE3" w:rsidP="003235D1">
      <w:pPr>
        <w:pStyle w:val="BodyTextIndent"/>
        <w:spacing w:after="0"/>
        <w:ind w:left="0"/>
      </w:pPr>
      <w:r>
        <w:t xml:space="preserve">2.3 </w:t>
      </w:r>
      <w:r w:rsidRPr="003235D1">
        <w:rPr>
          <w:u w:val="single"/>
        </w:rPr>
        <w:t>D</w:t>
      </w:r>
      <w:r w:rsidR="00CD3212" w:rsidRPr="003235D1">
        <w:rPr>
          <w:u w:val="single"/>
        </w:rPr>
        <w:t>escription of premises</w:t>
      </w:r>
      <w:r w:rsidR="00CD3212">
        <w:t xml:space="preserve"> </w:t>
      </w:r>
    </w:p>
    <w:p w:rsidR="00FD2D72" w:rsidRDefault="00FD2D72" w:rsidP="00FD2D72">
      <w:pPr>
        <w:pStyle w:val="BodyTextIndent"/>
        <w:spacing w:after="0"/>
        <w:ind w:left="360"/>
      </w:pPr>
    </w:p>
    <w:p w:rsidR="00FD2D72" w:rsidRDefault="00AD66FD" w:rsidP="009A7188">
      <w:pPr>
        <w:pStyle w:val="BodyTextIndent"/>
        <w:spacing w:after="0"/>
        <w:ind w:left="720"/>
      </w:pPr>
      <w:r>
        <w:t xml:space="preserve">The </w:t>
      </w:r>
      <w:proofErr w:type="gramStart"/>
      <w:r>
        <w:t>premises is</w:t>
      </w:r>
      <w:proofErr w:type="gramEnd"/>
      <w:r>
        <w:t xml:space="preserve"> located in Station Road Harrow, operating as </w:t>
      </w:r>
      <w:r w:rsidR="003235D1">
        <w:t>an</w:t>
      </w:r>
      <w:r>
        <w:t xml:space="preserve"> eatery / restaurant. The </w:t>
      </w:r>
      <w:r w:rsidR="00A14EC5">
        <w:t>restaurant offers</w:t>
      </w:r>
      <w:r w:rsidR="00CA6C61">
        <w:t xml:space="preserve"> the on sales of alcohol, late night food refreshment and a take</w:t>
      </w:r>
      <w:r>
        <w:t xml:space="preserve"> away </w:t>
      </w:r>
      <w:r w:rsidR="00CA6C61">
        <w:t xml:space="preserve">food </w:t>
      </w:r>
      <w:r>
        <w:t xml:space="preserve">service. </w:t>
      </w:r>
    </w:p>
    <w:p w:rsidR="00CA6C61" w:rsidRDefault="00CA6C61" w:rsidP="00CA6C61">
      <w:pPr>
        <w:pStyle w:val="BodyTextIndent"/>
        <w:spacing w:after="0"/>
        <w:ind w:left="0"/>
        <w:jc w:val="both"/>
      </w:pPr>
    </w:p>
    <w:p w:rsidR="00CA6C61" w:rsidRDefault="009A7188" w:rsidP="009A7188">
      <w:pPr>
        <w:pStyle w:val="BodyTextIndent"/>
        <w:spacing w:after="0"/>
        <w:ind w:left="0"/>
        <w:jc w:val="both"/>
      </w:pPr>
      <w:r>
        <w:t xml:space="preserve">2.4 </w:t>
      </w:r>
      <w:r w:rsidR="00CA6C61">
        <w:t xml:space="preserve"> </w:t>
      </w:r>
      <w:r>
        <w:t xml:space="preserve">  </w:t>
      </w:r>
      <w:r w:rsidR="00CA6C61">
        <w:t xml:space="preserve">A copy of the Review application and supporting information is attached   </w:t>
      </w:r>
      <w:r>
        <w:tab/>
      </w:r>
      <w:r w:rsidR="00CA6C61">
        <w:t xml:space="preserve">as </w:t>
      </w:r>
      <w:r w:rsidR="00CA6C61" w:rsidRPr="003235D1">
        <w:rPr>
          <w:b/>
        </w:rPr>
        <w:t>Appendix 1</w:t>
      </w:r>
      <w:r w:rsidR="00A55D41">
        <w:rPr>
          <w:b/>
        </w:rPr>
        <w:t>.</w:t>
      </w:r>
    </w:p>
    <w:p w:rsidR="00CA6C61" w:rsidRDefault="00CA6C61" w:rsidP="00CA6C61">
      <w:pPr>
        <w:pStyle w:val="BodyTextIndent"/>
        <w:spacing w:after="0"/>
        <w:ind w:left="0"/>
        <w:jc w:val="both"/>
      </w:pPr>
    </w:p>
    <w:p w:rsidR="00CA6C61" w:rsidRDefault="00CA6C61" w:rsidP="009A7188">
      <w:pPr>
        <w:pStyle w:val="BodyTextIndent"/>
        <w:spacing w:after="0"/>
        <w:ind w:left="720" w:hanging="720"/>
      </w:pPr>
      <w:r>
        <w:t>2.5</w:t>
      </w:r>
      <w:r w:rsidR="00EA42C6">
        <w:t xml:space="preserve"> </w:t>
      </w:r>
      <w:r w:rsidR="009A7188">
        <w:tab/>
      </w:r>
      <w:r>
        <w:t xml:space="preserve">Additional information, </w:t>
      </w:r>
      <w:r w:rsidR="00F663F3">
        <w:t xml:space="preserve">supplementary </w:t>
      </w:r>
      <w:r>
        <w:t xml:space="preserve">witness statements and photographs from the Home Office Enforcement Team, received during the application consultation period are attached as </w:t>
      </w:r>
      <w:r w:rsidRPr="003235D1">
        <w:rPr>
          <w:b/>
        </w:rPr>
        <w:t>Appendix 1a and 1b</w:t>
      </w:r>
      <w:r>
        <w:t>.</w:t>
      </w:r>
    </w:p>
    <w:p w:rsidR="00A41CE3" w:rsidRDefault="00A41CE3" w:rsidP="00FD2D72">
      <w:pPr>
        <w:pStyle w:val="BodyTextIndent"/>
        <w:spacing w:after="0"/>
        <w:ind w:left="0"/>
      </w:pPr>
    </w:p>
    <w:p w:rsidR="00CB373D" w:rsidRDefault="00A41CE3" w:rsidP="00CA6C61">
      <w:pPr>
        <w:pStyle w:val="BodyTextIndent"/>
        <w:spacing w:after="0"/>
        <w:ind w:left="720" w:hanging="720"/>
      </w:pPr>
      <w:r>
        <w:t xml:space="preserve">2.6 </w:t>
      </w:r>
      <w:r w:rsidR="009A7188">
        <w:tab/>
      </w:r>
      <w:r w:rsidR="00CB373D">
        <w:t xml:space="preserve">An image of the premises and a location map are provided at </w:t>
      </w:r>
      <w:r w:rsidR="00C242AD" w:rsidRPr="00FD2D72">
        <w:rPr>
          <w:b/>
        </w:rPr>
        <w:t>A</w:t>
      </w:r>
      <w:r w:rsidR="00CB373D" w:rsidRPr="00FD2D72">
        <w:rPr>
          <w:b/>
        </w:rPr>
        <w:t xml:space="preserve">ppendix </w:t>
      </w:r>
      <w:r>
        <w:rPr>
          <w:b/>
        </w:rPr>
        <w:t>3</w:t>
      </w:r>
      <w:r w:rsidR="00A55D41">
        <w:rPr>
          <w:b/>
        </w:rPr>
        <w:t>.</w:t>
      </w:r>
    </w:p>
    <w:p w:rsidR="00DE06F1" w:rsidRDefault="00DE06F1">
      <w:pPr>
        <w:rPr>
          <w:rFonts w:ascii="ArialMT" w:hAnsi="ArialMT" w:cs="ArialMT"/>
          <w:color w:val="000000"/>
          <w:szCs w:val="24"/>
          <w:lang w:eastAsia="en-GB"/>
        </w:rPr>
      </w:pPr>
      <w:r>
        <w:rPr>
          <w:rFonts w:ascii="ArialMT" w:hAnsi="ArialMT" w:cs="ArialMT"/>
          <w:color w:val="000000"/>
          <w:szCs w:val="24"/>
          <w:lang w:eastAsia="en-GB"/>
        </w:rPr>
        <w:br w:type="page"/>
      </w:r>
    </w:p>
    <w:p w:rsidR="00303952" w:rsidRDefault="00303952" w:rsidP="00303952">
      <w:pPr>
        <w:autoSpaceDE w:val="0"/>
        <w:autoSpaceDN w:val="0"/>
        <w:adjustRightInd w:val="0"/>
        <w:rPr>
          <w:rFonts w:ascii="ArialMT" w:hAnsi="ArialMT" w:cs="ArialMT"/>
          <w:color w:val="000000"/>
          <w:szCs w:val="24"/>
          <w:lang w:eastAsia="en-GB"/>
        </w:rPr>
      </w:pPr>
    </w:p>
    <w:p w:rsidR="00303952" w:rsidRPr="003235D1" w:rsidRDefault="009A7188" w:rsidP="00FD2D72">
      <w:pPr>
        <w:pStyle w:val="ListParagraph"/>
        <w:numPr>
          <w:ilvl w:val="1"/>
          <w:numId w:val="23"/>
        </w:numPr>
        <w:autoSpaceDE w:val="0"/>
        <w:autoSpaceDN w:val="0"/>
        <w:adjustRightInd w:val="0"/>
        <w:rPr>
          <w:rFonts w:ascii="ArialMT" w:hAnsi="ArialMT" w:cs="ArialMT"/>
          <w:color w:val="000000"/>
          <w:u w:val="single"/>
          <w:lang w:eastAsia="en-GB"/>
        </w:rPr>
      </w:pPr>
      <w:r>
        <w:rPr>
          <w:rFonts w:ascii="ArialMT" w:hAnsi="ArialMT" w:cs="ArialMT"/>
          <w:color w:val="000000"/>
          <w:u w:val="single"/>
          <w:lang w:eastAsia="en-GB"/>
        </w:rPr>
        <w:t xml:space="preserve"> </w:t>
      </w:r>
      <w:r w:rsidR="00303952" w:rsidRPr="003235D1">
        <w:rPr>
          <w:rFonts w:ascii="ArialMT" w:hAnsi="ArialMT" w:cs="ArialMT"/>
          <w:color w:val="000000"/>
          <w:u w:val="single"/>
          <w:lang w:eastAsia="en-GB"/>
        </w:rPr>
        <w:t>Licensable Activities currently authorised</w:t>
      </w:r>
    </w:p>
    <w:p w:rsidR="00303952" w:rsidRDefault="00303952" w:rsidP="00303952">
      <w:pPr>
        <w:autoSpaceDE w:val="0"/>
        <w:autoSpaceDN w:val="0"/>
        <w:adjustRightInd w:val="0"/>
        <w:rPr>
          <w:rFonts w:ascii="ArialMT" w:hAnsi="ArialMT" w:cs="ArialMT"/>
          <w:color w:val="000000"/>
          <w:szCs w:val="24"/>
          <w:lang w:eastAsia="en-GB"/>
        </w:rPr>
      </w:pPr>
    </w:p>
    <w:tbl>
      <w:tblPr>
        <w:tblStyle w:val="TableGrid"/>
        <w:tblW w:w="0" w:type="auto"/>
        <w:tblLook w:val="04A0" w:firstRow="1" w:lastRow="0" w:firstColumn="1" w:lastColumn="0" w:noHBand="0" w:noVBand="1"/>
      </w:tblPr>
      <w:tblGrid>
        <w:gridCol w:w="2802"/>
        <w:gridCol w:w="3685"/>
        <w:gridCol w:w="2038"/>
      </w:tblGrid>
      <w:tr w:rsidR="00303952" w:rsidTr="00FD2D72">
        <w:tc>
          <w:tcPr>
            <w:tcW w:w="2802" w:type="dxa"/>
          </w:tcPr>
          <w:p w:rsidR="00303952" w:rsidRPr="0005396A" w:rsidRDefault="00303952" w:rsidP="00303952">
            <w:pPr>
              <w:autoSpaceDE w:val="0"/>
              <w:autoSpaceDN w:val="0"/>
              <w:adjustRightInd w:val="0"/>
              <w:rPr>
                <w:rFonts w:ascii="ArialMT" w:hAnsi="ArialMT" w:cs="ArialMT"/>
                <w:b/>
                <w:color w:val="000000"/>
                <w:szCs w:val="24"/>
                <w:lang w:eastAsia="en-GB"/>
              </w:rPr>
            </w:pPr>
            <w:r w:rsidRPr="0005396A">
              <w:rPr>
                <w:rFonts w:ascii="ArialMT" w:hAnsi="ArialMT" w:cs="ArialMT"/>
                <w:b/>
                <w:color w:val="000000"/>
                <w:szCs w:val="24"/>
                <w:lang w:eastAsia="en-GB"/>
              </w:rPr>
              <w:t>Activity</w:t>
            </w:r>
          </w:p>
        </w:tc>
        <w:tc>
          <w:tcPr>
            <w:tcW w:w="3685" w:type="dxa"/>
          </w:tcPr>
          <w:p w:rsidR="00303952" w:rsidRDefault="00303952" w:rsidP="00303952">
            <w:pPr>
              <w:autoSpaceDE w:val="0"/>
              <w:autoSpaceDN w:val="0"/>
              <w:adjustRightInd w:val="0"/>
              <w:rPr>
                <w:rFonts w:ascii="ArialMT" w:hAnsi="ArialMT" w:cs="ArialMT"/>
                <w:color w:val="000000"/>
                <w:szCs w:val="24"/>
                <w:lang w:eastAsia="en-GB"/>
              </w:rPr>
            </w:pPr>
          </w:p>
        </w:tc>
        <w:tc>
          <w:tcPr>
            <w:tcW w:w="2038" w:type="dxa"/>
          </w:tcPr>
          <w:p w:rsidR="00303952" w:rsidRDefault="00303952" w:rsidP="00303952">
            <w:pPr>
              <w:autoSpaceDE w:val="0"/>
              <w:autoSpaceDN w:val="0"/>
              <w:adjustRightInd w:val="0"/>
              <w:rPr>
                <w:rFonts w:ascii="ArialMT" w:hAnsi="ArialMT" w:cs="ArialMT"/>
                <w:color w:val="000000"/>
                <w:szCs w:val="24"/>
                <w:lang w:eastAsia="en-GB"/>
              </w:rPr>
            </w:pPr>
            <w:r>
              <w:rPr>
                <w:rFonts w:ascii="ArialMT" w:hAnsi="ArialMT" w:cs="ArialMT"/>
                <w:color w:val="000000"/>
                <w:szCs w:val="24"/>
                <w:lang w:eastAsia="en-GB"/>
              </w:rPr>
              <w:t>Permitted</w:t>
            </w:r>
          </w:p>
        </w:tc>
      </w:tr>
      <w:tr w:rsidR="00303952" w:rsidTr="00FD2D72">
        <w:tc>
          <w:tcPr>
            <w:tcW w:w="2802" w:type="dxa"/>
          </w:tcPr>
          <w:p w:rsidR="00303952" w:rsidRDefault="00303952" w:rsidP="00303952">
            <w:pPr>
              <w:autoSpaceDE w:val="0"/>
              <w:autoSpaceDN w:val="0"/>
              <w:adjustRightInd w:val="0"/>
              <w:rPr>
                <w:rFonts w:ascii="ArialMT" w:hAnsi="ArialMT" w:cs="ArialMT"/>
                <w:color w:val="000000"/>
                <w:szCs w:val="24"/>
                <w:lang w:eastAsia="en-GB"/>
              </w:rPr>
            </w:pPr>
            <w:r>
              <w:rPr>
                <w:rFonts w:ascii="ArialMT" w:hAnsi="ArialMT" w:cs="ArialMT"/>
                <w:color w:val="000000"/>
                <w:szCs w:val="24"/>
                <w:lang w:eastAsia="en-GB"/>
              </w:rPr>
              <w:t>Sale of Alcohol</w:t>
            </w:r>
          </w:p>
        </w:tc>
        <w:tc>
          <w:tcPr>
            <w:tcW w:w="3685" w:type="dxa"/>
          </w:tcPr>
          <w:p w:rsidR="00303952" w:rsidRDefault="00303952" w:rsidP="00303952">
            <w:pPr>
              <w:autoSpaceDE w:val="0"/>
              <w:autoSpaceDN w:val="0"/>
              <w:adjustRightInd w:val="0"/>
              <w:rPr>
                <w:rFonts w:ascii="ArialMT" w:hAnsi="ArialMT" w:cs="ArialMT"/>
                <w:color w:val="000000"/>
                <w:szCs w:val="24"/>
                <w:lang w:eastAsia="en-GB"/>
              </w:rPr>
            </w:pPr>
            <w:r>
              <w:rPr>
                <w:rFonts w:ascii="ArialMT" w:hAnsi="ArialMT" w:cs="ArialMT"/>
                <w:color w:val="000000"/>
                <w:szCs w:val="24"/>
                <w:lang w:eastAsia="en-GB"/>
              </w:rPr>
              <w:t>Consumption on the premises</w:t>
            </w:r>
          </w:p>
        </w:tc>
        <w:tc>
          <w:tcPr>
            <w:tcW w:w="2038" w:type="dxa"/>
          </w:tcPr>
          <w:p w:rsidR="00303952" w:rsidRDefault="00303952" w:rsidP="00303952">
            <w:pPr>
              <w:autoSpaceDE w:val="0"/>
              <w:autoSpaceDN w:val="0"/>
              <w:adjustRightInd w:val="0"/>
              <w:rPr>
                <w:rFonts w:ascii="ArialMT" w:hAnsi="ArialMT" w:cs="ArialMT"/>
                <w:color w:val="000000"/>
                <w:szCs w:val="24"/>
                <w:lang w:eastAsia="en-GB"/>
              </w:rPr>
            </w:pPr>
            <w:r>
              <w:rPr>
                <w:rFonts w:ascii="ArialMT" w:hAnsi="ArialMT" w:cs="ArialMT"/>
                <w:color w:val="000000"/>
                <w:szCs w:val="24"/>
                <w:lang w:eastAsia="en-GB"/>
              </w:rPr>
              <w:t xml:space="preserve">    X</w:t>
            </w:r>
          </w:p>
        </w:tc>
      </w:tr>
      <w:tr w:rsidR="00303952" w:rsidTr="00FD2D72">
        <w:tc>
          <w:tcPr>
            <w:tcW w:w="2802" w:type="dxa"/>
          </w:tcPr>
          <w:p w:rsidR="00303952" w:rsidRDefault="00303952" w:rsidP="00303952">
            <w:pPr>
              <w:autoSpaceDE w:val="0"/>
              <w:autoSpaceDN w:val="0"/>
              <w:adjustRightInd w:val="0"/>
              <w:rPr>
                <w:rFonts w:ascii="ArialMT" w:hAnsi="ArialMT" w:cs="ArialMT"/>
                <w:color w:val="000000"/>
                <w:szCs w:val="24"/>
                <w:lang w:eastAsia="en-GB"/>
              </w:rPr>
            </w:pPr>
            <w:r>
              <w:rPr>
                <w:rFonts w:ascii="ArialMT" w:hAnsi="ArialMT" w:cs="ArialMT"/>
                <w:color w:val="000000"/>
                <w:szCs w:val="24"/>
                <w:lang w:eastAsia="en-GB"/>
              </w:rPr>
              <w:t>Late Night Refreshment</w:t>
            </w:r>
          </w:p>
        </w:tc>
        <w:tc>
          <w:tcPr>
            <w:tcW w:w="3685" w:type="dxa"/>
          </w:tcPr>
          <w:p w:rsidR="00303952" w:rsidRDefault="009A7188" w:rsidP="00303952">
            <w:pPr>
              <w:autoSpaceDE w:val="0"/>
              <w:autoSpaceDN w:val="0"/>
              <w:adjustRightInd w:val="0"/>
              <w:rPr>
                <w:rFonts w:ascii="ArialMT" w:hAnsi="ArialMT" w:cs="ArialMT"/>
                <w:color w:val="000000"/>
                <w:szCs w:val="24"/>
                <w:lang w:eastAsia="en-GB"/>
              </w:rPr>
            </w:pPr>
            <w:r>
              <w:rPr>
                <w:rFonts w:ascii="ArialMT" w:hAnsi="ArialMT" w:cs="ArialMT"/>
                <w:color w:val="000000"/>
                <w:szCs w:val="24"/>
                <w:lang w:eastAsia="en-GB"/>
              </w:rPr>
              <w:t>Licensable Area</w:t>
            </w:r>
          </w:p>
        </w:tc>
        <w:tc>
          <w:tcPr>
            <w:tcW w:w="2038" w:type="dxa"/>
          </w:tcPr>
          <w:p w:rsidR="00303952" w:rsidRDefault="00303952" w:rsidP="00303952">
            <w:pPr>
              <w:autoSpaceDE w:val="0"/>
              <w:autoSpaceDN w:val="0"/>
              <w:adjustRightInd w:val="0"/>
              <w:rPr>
                <w:rFonts w:ascii="ArialMT" w:hAnsi="ArialMT" w:cs="ArialMT"/>
                <w:color w:val="000000"/>
                <w:szCs w:val="24"/>
                <w:lang w:eastAsia="en-GB"/>
              </w:rPr>
            </w:pPr>
            <w:r>
              <w:rPr>
                <w:rFonts w:ascii="ArialMT" w:hAnsi="ArialMT" w:cs="ArialMT"/>
                <w:color w:val="000000"/>
                <w:szCs w:val="24"/>
                <w:lang w:eastAsia="en-GB"/>
              </w:rPr>
              <w:t xml:space="preserve">    X</w:t>
            </w:r>
          </w:p>
        </w:tc>
      </w:tr>
    </w:tbl>
    <w:p w:rsidR="00303952" w:rsidRDefault="00303952" w:rsidP="00303952">
      <w:pPr>
        <w:autoSpaceDE w:val="0"/>
        <w:autoSpaceDN w:val="0"/>
        <w:adjustRightInd w:val="0"/>
        <w:rPr>
          <w:rFonts w:ascii="ArialMT" w:hAnsi="ArialMT" w:cs="ArialMT"/>
          <w:color w:val="000000"/>
          <w:szCs w:val="24"/>
          <w:lang w:eastAsia="en-GB"/>
        </w:rPr>
      </w:pPr>
    </w:p>
    <w:tbl>
      <w:tblPr>
        <w:tblStyle w:val="TableGrid"/>
        <w:tblW w:w="0" w:type="auto"/>
        <w:tblLook w:val="04A0" w:firstRow="1" w:lastRow="0" w:firstColumn="1" w:lastColumn="0" w:noHBand="0" w:noVBand="1"/>
      </w:tblPr>
      <w:tblGrid>
        <w:gridCol w:w="2518"/>
        <w:gridCol w:w="4111"/>
        <w:gridCol w:w="1896"/>
      </w:tblGrid>
      <w:tr w:rsidR="003235D1" w:rsidTr="00876EE9">
        <w:tc>
          <w:tcPr>
            <w:tcW w:w="2518" w:type="dxa"/>
          </w:tcPr>
          <w:p w:rsidR="003235D1" w:rsidRPr="0005396A" w:rsidRDefault="0005396A" w:rsidP="003235D1">
            <w:pPr>
              <w:pStyle w:val="BodyTextIndent"/>
              <w:spacing w:after="0"/>
              <w:ind w:left="0"/>
              <w:rPr>
                <w:b/>
              </w:rPr>
            </w:pPr>
            <w:r w:rsidRPr="0005396A">
              <w:rPr>
                <w:b/>
              </w:rPr>
              <w:t>Authorised Timings</w:t>
            </w:r>
          </w:p>
        </w:tc>
        <w:tc>
          <w:tcPr>
            <w:tcW w:w="4111" w:type="dxa"/>
          </w:tcPr>
          <w:p w:rsidR="003235D1" w:rsidRDefault="003235D1" w:rsidP="003235D1">
            <w:pPr>
              <w:pStyle w:val="BodyTextIndent"/>
              <w:spacing w:after="0"/>
              <w:ind w:left="0"/>
            </w:pPr>
            <w:r>
              <w:t>Licensable Activities</w:t>
            </w:r>
          </w:p>
          <w:p w:rsidR="009A7188" w:rsidRDefault="009A7188" w:rsidP="003235D1">
            <w:pPr>
              <w:pStyle w:val="BodyTextIndent"/>
              <w:spacing w:after="0"/>
              <w:ind w:left="0"/>
            </w:pPr>
          </w:p>
        </w:tc>
        <w:tc>
          <w:tcPr>
            <w:tcW w:w="1896" w:type="dxa"/>
          </w:tcPr>
          <w:p w:rsidR="003235D1" w:rsidRDefault="003235D1" w:rsidP="003235D1">
            <w:pPr>
              <w:pStyle w:val="BodyTextIndent"/>
              <w:spacing w:after="0"/>
              <w:ind w:left="0"/>
            </w:pPr>
            <w:r>
              <w:t xml:space="preserve">Opening Hours </w:t>
            </w:r>
          </w:p>
        </w:tc>
      </w:tr>
      <w:tr w:rsidR="003235D1" w:rsidTr="00876EE9">
        <w:tc>
          <w:tcPr>
            <w:tcW w:w="2518" w:type="dxa"/>
          </w:tcPr>
          <w:p w:rsidR="003235D1" w:rsidRDefault="003235D1" w:rsidP="003235D1">
            <w:pPr>
              <w:pStyle w:val="BodyTextIndent"/>
              <w:spacing w:after="0"/>
              <w:ind w:left="0"/>
            </w:pPr>
            <w:r>
              <w:t>Monday</w:t>
            </w:r>
            <w:r w:rsidR="0005396A">
              <w:t xml:space="preserve"> – Sunday </w:t>
            </w:r>
          </w:p>
        </w:tc>
        <w:tc>
          <w:tcPr>
            <w:tcW w:w="4111" w:type="dxa"/>
          </w:tcPr>
          <w:p w:rsidR="003235D1" w:rsidRDefault="0005396A" w:rsidP="003235D1">
            <w:pPr>
              <w:pStyle w:val="BodyTextIndent"/>
              <w:spacing w:after="0"/>
              <w:ind w:left="0"/>
            </w:pPr>
            <w:r>
              <w:t>Sale of Alcohol 10:00-23:30</w:t>
            </w:r>
          </w:p>
          <w:p w:rsidR="0005396A" w:rsidRDefault="0005396A" w:rsidP="003235D1">
            <w:pPr>
              <w:pStyle w:val="BodyTextIndent"/>
              <w:spacing w:after="0"/>
              <w:ind w:left="0"/>
            </w:pPr>
            <w:r>
              <w:t>Late Night Refreshment 23:00-00:00</w:t>
            </w:r>
          </w:p>
          <w:p w:rsidR="009A7188" w:rsidRDefault="009A7188" w:rsidP="003235D1">
            <w:pPr>
              <w:pStyle w:val="BodyTextIndent"/>
              <w:spacing w:after="0"/>
              <w:ind w:left="0"/>
            </w:pPr>
          </w:p>
        </w:tc>
        <w:tc>
          <w:tcPr>
            <w:tcW w:w="1896" w:type="dxa"/>
          </w:tcPr>
          <w:p w:rsidR="003235D1" w:rsidRDefault="003235D1" w:rsidP="003235D1">
            <w:pPr>
              <w:pStyle w:val="BodyTextIndent"/>
              <w:spacing w:after="0"/>
              <w:ind w:left="0"/>
            </w:pPr>
            <w:r>
              <w:t>10:00-00:00</w:t>
            </w:r>
          </w:p>
        </w:tc>
      </w:tr>
    </w:tbl>
    <w:p w:rsidR="00C42834" w:rsidRDefault="00C42834" w:rsidP="009B05ED">
      <w:pPr>
        <w:pStyle w:val="BodyTextIndent"/>
        <w:spacing w:after="0"/>
        <w:ind w:left="720"/>
      </w:pPr>
    </w:p>
    <w:p w:rsidR="002A4446" w:rsidRPr="00011AC3" w:rsidRDefault="00A14EC5" w:rsidP="00011AC3">
      <w:r w:rsidRPr="00011AC3">
        <w:t xml:space="preserve">2.8 A copy of the full Premises Licence </w:t>
      </w:r>
      <w:r w:rsidR="00011AC3">
        <w:t xml:space="preserve">is </w:t>
      </w:r>
      <w:r w:rsidRPr="00011AC3">
        <w:t xml:space="preserve">attached as </w:t>
      </w:r>
      <w:r w:rsidRPr="00011AC3">
        <w:rPr>
          <w:b/>
        </w:rPr>
        <w:t>Appendix 2</w:t>
      </w:r>
      <w:r w:rsidR="00A55D41">
        <w:rPr>
          <w:b/>
        </w:rPr>
        <w:t>.</w:t>
      </w:r>
    </w:p>
    <w:p w:rsidR="00C42834" w:rsidRDefault="00C42834" w:rsidP="009B05ED">
      <w:pPr>
        <w:pStyle w:val="BodyTextIndent"/>
        <w:spacing w:after="0"/>
        <w:ind w:left="720"/>
      </w:pPr>
    </w:p>
    <w:p w:rsidR="00C42834" w:rsidRDefault="001650CC" w:rsidP="0005396A">
      <w:pPr>
        <w:pStyle w:val="BodyTextIndent"/>
        <w:spacing w:after="0"/>
        <w:ind w:left="0"/>
      </w:pPr>
      <w:proofErr w:type="gramStart"/>
      <w:r>
        <w:t>3.</w:t>
      </w:r>
      <w:r w:rsidR="00C42834" w:rsidRPr="0005396A">
        <w:rPr>
          <w:u w:val="single"/>
        </w:rPr>
        <w:t>Consultation</w:t>
      </w:r>
      <w:proofErr w:type="gramEnd"/>
      <w:r w:rsidR="00C42834">
        <w:t xml:space="preserve">: </w:t>
      </w:r>
    </w:p>
    <w:p w:rsidR="001650CC" w:rsidRDefault="001650CC" w:rsidP="00FD2D72">
      <w:pPr>
        <w:pStyle w:val="BodyTextIndent"/>
        <w:spacing w:after="0"/>
        <w:ind w:left="1560"/>
      </w:pPr>
    </w:p>
    <w:p w:rsidR="001650CC" w:rsidRDefault="001650CC" w:rsidP="0005396A">
      <w:pPr>
        <w:autoSpaceDE w:val="0"/>
        <w:autoSpaceDN w:val="0"/>
        <w:adjustRightInd w:val="0"/>
        <w:rPr>
          <w:rFonts w:ascii="ArialMT" w:hAnsi="ArialMT" w:cs="ArialMT"/>
          <w:szCs w:val="24"/>
          <w:lang w:eastAsia="en-GB"/>
        </w:rPr>
      </w:pPr>
      <w:r>
        <w:rPr>
          <w:rFonts w:ascii="ArialMT" w:hAnsi="ArialMT" w:cs="ArialMT"/>
          <w:szCs w:val="24"/>
          <w:lang w:eastAsia="en-GB"/>
        </w:rPr>
        <w:t xml:space="preserve">3.1 </w:t>
      </w:r>
      <w:r w:rsidRPr="0005396A">
        <w:rPr>
          <w:rFonts w:ascii="ArialMT" w:hAnsi="ArialMT" w:cs="ArialMT"/>
          <w:szCs w:val="24"/>
          <w:u w:val="single"/>
          <w:lang w:eastAsia="en-GB"/>
        </w:rPr>
        <w:t xml:space="preserve">Closing date for </w:t>
      </w:r>
      <w:r w:rsidR="009A7188">
        <w:rPr>
          <w:rFonts w:ascii="ArialMT" w:hAnsi="ArialMT" w:cs="ArialMT"/>
          <w:szCs w:val="24"/>
          <w:u w:val="single"/>
          <w:lang w:eastAsia="en-GB"/>
        </w:rPr>
        <w:t xml:space="preserve">review </w:t>
      </w:r>
      <w:r w:rsidRPr="0005396A">
        <w:rPr>
          <w:rFonts w:ascii="ArialMT" w:hAnsi="ArialMT" w:cs="ArialMT"/>
          <w:szCs w:val="24"/>
          <w:u w:val="single"/>
          <w:lang w:eastAsia="en-GB"/>
        </w:rPr>
        <w:t>representations</w:t>
      </w:r>
    </w:p>
    <w:p w:rsidR="0005396A" w:rsidRDefault="0005396A" w:rsidP="0005396A">
      <w:pPr>
        <w:autoSpaceDE w:val="0"/>
        <w:autoSpaceDN w:val="0"/>
        <w:adjustRightInd w:val="0"/>
        <w:ind w:left="720" w:firstLine="720"/>
        <w:rPr>
          <w:rFonts w:ascii="ArialMT" w:hAnsi="ArialMT" w:cs="ArialMT"/>
          <w:szCs w:val="24"/>
          <w:lang w:eastAsia="en-GB"/>
        </w:rPr>
      </w:pPr>
    </w:p>
    <w:p w:rsidR="001650CC" w:rsidRDefault="001650CC" w:rsidP="0005396A">
      <w:pPr>
        <w:autoSpaceDE w:val="0"/>
        <w:autoSpaceDN w:val="0"/>
        <w:adjustRightInd w:val="0"/>
        <w:ind w:firstLine="720"/>
        <w:rPr>
          <w:rFonts w:ascii="ArialMT" w:hAnsi="ArialMT" w:cs="ArialMT"/>
          <w:szCs w:val="24"/>
          <w:lang w:eastAsia="en-GB"/>
        </w:rPr>
      </w:pPr>
      <w:r>
        <w:rPr>
          <w:rFonts w:ascii="ArialMT" w:hAnsi="ArialMT" w:cs="ArialMT"/>
          <w:szCs w:val="24"/>
          <w:lang w:eastAsia="en-GB"/>
        </w:rPr>
        <w:t>26 December 2019</w:t>
      </w:r>
      <w:r w:rsidR="00A55D41">
        <w:rPr>
          <w:rFonts w:ascii="ArialMT" w:hAnsi="ArialMT" w:cs="ArialMT"/>
          <w:szCs w:val="24"/>
          <w:lang w:eastAsia="en-GB"/>
        </w:rPr>
        <w:t>.</w:t>
      </w:r>
    </w:p>
    <w:p w:rsidR="001650CC" w:rsidRDefault="001650CC" w:rsidP="00FD2D72">
      <w:pPr>
        <w:autoSpaceDE w:val="0"/>
        <w:autoSpaceDN w:val="0"/>
        <w:adjustRightInd w:val="0"/>
        <w:ind w:firstLine="720"/>
        <w:rPr>
          <w:rFonts w:ascii="ArialMT" w:hAnsi="ArialMT" w:cs="ArialMT"/>
          <w:szCs w:val="24"/>
          <w:lang w:eastAsia="en-GB"/>
        </w:rPr>
      </w:pPr>
    </w:p>
    <w:p w:rsidR="001650CC" w:rsidRDefault="0005396A" w:rsidP="0005396A">
      <w:pPr>
        <w:autoSpaceDE w:val="0"/>
        <w:autoSpaceDN w:val="0"/>
        <w:adjustRightInd w:val="0"/>
        <w:rPr>
          <w:rFonts w:ascii="ArialMT" w:hAnsi="ArialMT" w:cs="ArialMT"/>
          <w:szCs w:val="24"/>
          <w:lang w:eastAsia="en-GB"/>
        </w:rPr>
      </w:pPr>
      <w:r>
        <w:rPr>
          <w:rFonts w:ascii="ArialMT" w:hAnsi="ArialMT" w:cs="ArialMT"/>
          <w:szCs w:val="24"/>
          <w:lang w:eastAsia="en-GB"/>
        </w:rPr>
        <w:t>3</w:t>
      </w:r>
      <w:r w:rsidR="001650CC">
        <w:rPr>
          <w:rFonts w:ascii="ArialMT" w:hAnsi="ArialMT" w:cs="ArialMT"/>
          <w:szCs w:val="24"/>
          <w:lang w:eastAsia="en-GB"/>
        </w:rPr>
        <w:t xml:space="preserve">.2 </w:t>
      </w:r>
      <w:r w:rsidR="009A7188">
        <w:rPr>
          <w:rFonts w:ascii="ArialMT" w:hAnsi="ArialMT" w:cs="ArialMT"/>
          <w:szCs w:val="24"/>
          <w:lang w:eastAsia="en-GB"/>
        </w:rPr>
        <w:t xml:space="preserve">  </w:t>
      </w:r>
      <w:r w:rsidR="001650CC">
        <w:rPr>
          <w:rFonts w:ascii="ArialMT" w:hAnsi="ArialMT" w:cs="ArialMT"/>
          <w:szCs w:val="24"/>
          <w:lang w:eastAsia="en-GB"/>
        </w:rPr>
        <w:t>The application wa</w:t>
      </w:r>
      <w:r w:rsidR="00F663F3">
        <w:rPr>
          <w:rFonts w:ascii="ArialMT" w:hAnsi="ArialMT" w:cs="ArialMT"/>
          <w:szCs w:val="24"/>
          <w:lang w:eastAsia="en-GB"/>
        </w:rPr>
        <w:t>s subject to the following advertising:</w:t>
      </w:r>
      <w:r w:rsidR="001650CC">
        <w:rPr>
          <w:rFonts w:ascii="ArialMT" w:hAnsi="ArialMT" w:cs="ArialMT"/>
          <w:szCs w:val="24"/>
          <w:lang w:eastAsia="en-GB"/>
        </w:rPr>
        <w:t xml:space="preserve"> </w:t>
      </w:r>
    </w:p>
    <w:p w:rsidR="001650CC" w:rsidRDefault="001650CC" w:rsidP="00FD2D72">
      <w:pPr>
        <w:pStyle w:val="ListParagraph"/>
        <w:numPr>
          <w:ilvl w:val="0"/>
          <w:numId w:val="25"/>
        </w:numPr>
        <w:autoSpaceDE w:val="0"/>
        <w:autoSpaceDN w:val="0"/>
        <w:adjustRightInd w:val="0"/>
        <w:rPr>
          <w:rFonts w:ascii="ArialMT" w:hAnsi="ArialMT" w:cs="ArialMT"/>
          <w:lang w:eastAsia="en-GB"/>
        </w:rPr>
      </w:pPr>
      <w:r w:rsidRPr="00FD2D72">
        <w:rPr>
          <w:rFonts w:ascii="ArialMT" w:hAnsi="ArialMT" w:cs="ArialMT"/>
          <w:lang w:eastAsia="en-GB"/>
        </w:rPr>
        <w:t xml:space="preserve">published on the Council’s website </w:t>
      </w:r>
    </w:p>
    <w:p w:rsidR="001650CC" w:rsidRDefault="001650CC" w:rsidP="00FD2D72">
      <w:pPr>
        <w:pStyle w:val="ListParagraph"/>
        <w:numPr>
          <w:ilvl w:val="0"/>
          <w:numId w:val="25"/>
        </w:numPr>
        <w:autoSpaceDE w:val="0"/>
        <w:autoSpaceDN w:val="0"/>
        <w:adjustRightInd w:val="0"/>
        <w:rPr>
          <w:rFonts w:ascii="ArialMT" w:hAnsi="ArialMT" w:cs="ArialMT"/>
          <w:lang w:eastAsia="en-GB"/>
        </w:rPr>
      </w:pPr>
      <w:r w:rsidRPr="00FD2D72">
        <w:rPr>
          <w:rFonts w:ascii="ArialMT" w:hAnsi="ArialMT" w:cs="ArialMT"/>
          <w:lang w:eastAsia="en-GB"/>
        </w:rPr>
        <w:t xml:space="preserve">a public notice placed at the Harrow Civic Offices </w:t>
      </w:r>
    </w:p>
    <w:p w:rsidR="00C42834" w:rsidRPr="00FD2D72" w:rsidRDefault="001650CC" w:rsidP="00FD2D72">
      <w:pPr>
        <w:pStyle w:val="ListParagraph"/>
        <w:numPr>
          <w:ilvl w:val="0"/>
          <w:numId w:val="25"/>
        </w:numPr>
        <w:autoSpaceDE w:val="0"/>
        <w:autoSpaceDN w:val="0"/>
        <w:adjustRightInd w:val="0"/>
        <w:rPr>
          <w:rFonts w:ascii="ArialMT" w:hAnsi="ArialMT" w:cs="ArialMT"/>
          <w:lang w:eastAsia="en-GB"/>
        </w:rPr>
      </w:pPr>
      <w:r w:rsidRPr="00FD2D72">
        <w:rPr>
          <w:rFonts w:ascii="ArialMT" w:hAnsi="ArialMT" w:cs="ArialMT"/>
          <w:lang w:eastAsia="en-GB"/>
        </w:rPr>
        <w:t xml:space="preserve">Responsible Authorities and Ward Members notified of the application </w:t>
      </w:r>
    </w:p>
    <w:p w:rsidR="00C42834" w:rsidRDefault="00C42834" w:rsidP="00FD2D72">
      <w:pPr>
        <w:pStyle w:val="BodyTextIndent"/>
        <w:spacing w:after="0"/>
      </w:pPr>
    </w:p>
    <w:p w:rsidR="00C42834" w:rsidRPr="0005396A" w:rsidRDefault="00C42834" w:rsidP="00FD2D72">
      <w:pPr>
        <w:pStyle w:val="BodyTextIndent"/>
        <w:numPr>
          <w:ilvl w:val="0"/>
          <w:numId w:val="24"/>
        </w:numPr>
        <w:spacing w:after="0"/>
        <w:rPr>
          <w:u w:val="single"/>
        </w:rPr>
      </w:pPr>
      <w:r w:rsidRPr="0005396A">
        <w:rPr>
          <w:u w:val="single"/>
        </w:rPr>
        <w:t>Representations</w:t>
      </w:r>
      <w:r w:rsidR="0005396A">
        <w:rPr>
          <w:u w:val="single"/>
        </w:rPr>
        <w:t>:</w:t>
      </w:r>
    </w:p>
    <w:p w:rsidR="00C42834" w:rsidRDefault="00C42834" w:rsidP="00FD2D72">
      <w:pPr>
        <w:pStyle w:val="BodyTextIndent"/>
        <w:spacing w:after="0"/>
        <w:ind w:left="1920"/>
      </w:pPr>
    </w:p>
    <w:p w:rsidR="00C42834" w:rsidRDefault="00C42834" w:rsidP="00C42834">
      <w:pPr>
        <w:pStyle w:val="Heading1"/>
        <w:jc w:val="both"/>
      </w:pPr>
      <w:r>
        <w:t>Representations received</w:t>
      </w:r>
    </w:p>
    <w:tbl>
      <w:tblPr>
        <w:tblStyle w:val="TableGrid"/>
        <w:tblW w:w="0" w:type="auto"/>
        <w:tblLook w:val="04A0" w:firstRow="1" w:lastRow="0" w:firstColumn="1" w:lastColumn="0" w:noHBand="0" w:noVBand="1"/>
      </w:tblPr>
      <w:tblGrid>
        <w:gridCol w:w="2660"/>
        <w:gridCol w:w="3260"/>
        <w:gridCol w:w="2605"/>
      </w:tblGrid>
      <w:tr w:rsidR="001650CC" w:rsidTr="0005396A">
        <w:tc>
          <w:tcPr>
            <w:tcW w:w="2660" w:type="dxa"/>
          </w:tcPr>
          <w:p w:rsidR="001650CC" w:rsidRDefault="001650CC" w:rsidP="00C42834">
            <w:r>
              <w:rPr>
                <w:b/>
              </w:rPr>
              <w:t>From</w:t>
            </w:r>
          </w:p>
        </w:tc>
        <w:tc>
          <w:tcPr>
            <w:tcW w:w="3260" w:type="dxa"/>
          </w:tcPr>
          <w:p w:rsidR="001650CC" w:rsidRDefault="001650CC" w:rsidP="001650CC">
            <w:pPr>
              <w:rPr>
                <w:b/>
                <w:bCs/>
              </w:rPr>
            </w:pPr>
            <w:r>
              <w:rPr>
                <w:b/>
                <w:bCs/>
              </w:rPr>
              <w:t>Representations details</w:t>
            </w:r>
          </w:p>
          <w:p w:rsidR="001650CC" w:rsidRDefault="001650CC" w:rsidP="00C42834"/>
        </w:tc>
        <w:tc>
          <w:tcPr>
            <w:tcW w:w="2605" w:type="dxa"/>
          </w:tcPr>
          <w:p w:rsidR="001650CC" w:rsidRDefault="001650CC" w:rsidP="00C42834">
            <w:r>
              <w:t>Grounds for Representation</w:t>
            </w:r>
          </w:p>
        </w:tc>
      </w:tr>
      <w:tr w:rsidR="001650CC" w:rsidTr="0005396A">
        <w:tc>
          <w:tcPr>
            <w:tcW w:w="2660" w:type="dxa"/>
          </w:tcPr>
          <w:p w:rsidR="001650CC" w:rsidRDefault="001650CC" w:rsidP="00C42834">
            <w:r w:rsidRPr="00804B6F">
              <w:t>The Planning Authority</w:t>
            </w:r>
          </w:p>
        </w:tc>
        <w:tc>
          <w:tcPr>
            <w:tcW w:w="3260" w:type="dxa"/>
          </w:tcPr>
          <w:p w:rsidR="001650CC" w:rsidRDefault="001650CC" w:rsidP="00C42834">
            <w:r w:rsidRPr="00A02289">
              <w:t>No representations received</w:t>
            </w:r>
          </w:p>
        </w:tc>
        <w:tc>
          <w:tcPr>
            <w:tcW w:w="2605" w:type="dxa"/>
          </w:tcPr>
          <w:p w:rsidR="001650CC" w:rsidRDefault="001650CC" w:rsidP="00C42834"/>
        </w:tc>
      </w:tr>
      <w:tr w:rsidR="001650CC" w:rsidTr="0005396A">
        <w:tc>
          <w:tcPr>
            <w:tcW w:w="2660" w:type="dxa"/>
          </w:tcPr>
          <w:p w:rsidR="001650CC" w:rsidRDefault="001650CC" w:rsidP="00C42834">
            <w:r w:rsidRPr="00804B6F">
              <w:t>Health &amp; Safety</w:t>
            </w:r>
          </w:p>
        </w:tc>
        <w:tc>
          <w:tcPr>
            <w:tcW w:w="3260" w:type="dxa"/>
          </w:tcPr>
          <w:p w:rsidR="001650CC" w:rsidRDefault="001650CC" w:rsidP="00C42834">
            <w:r w:rsidRPr="00A02289">
              <w:t>No representations received</w:t>
            </w:r>
          </w:p>
        </w:tc>
        <w:tc>
          <w:tcPr>
            <w:tcW w:w="2605" w:type="dxa"/>
          </w:tcPr>
          <w:p w:rsidR="001650CC" w:rsidRDefault="001650CC" w:rsidP="00C42834"/>
        </w:tc>
      </w:tr>
      <w:tr w:rsidR="001650CC" w:rsidTr="0005396A">
        <w:tc>
          <w:tcPr>
            <w:tcW w:w="2660" w:type="dxa"/>
          </w:tcPr>
          <w:p w:rsidR="001650CC" w:rsidRDefault="001650CC" w:rsidP="00C42834">
            <w:r w:rsidRPr="00804B6F">
              <w:t>Environmental Health</w:t>
            </w:r>
          </w:p>
        </w:tc>
        <w:tc>
          <w:tcPr>
            <w:tcW w:w="3260" w:type="dxa"/>
          </w:tcPr>
          <w:p w:rsidR="001650CC" w:rsidRDefault="001650CC" w:rsidP="00C42834">
            <w:r w:rsidRPr="00A02289">
              <w:t>No representations received</w:t>
            </w:r>
          </w:p>
        </w:tc>
        <w:tc>
          <w:tcPr>
            <w:tcW w:w="2605" w:type="dxa"/>
          </w:tcPr>
          <w:p w:rsidR="001650CC" w:rsidRDefault="001650CC" w:rsidP="00C42834"/>
        </w:tc>
      </w:tr>
      <w:tr w:rsidR="001650CC" w:rsidTr="0005396A">
        <w:tc>
          <w:tcPr>
            <w:tcW w:w="2660" w:type="dxa"/>
          </w:tcPr>
          <w:p w:rsidR="001650CC" w:rsidRDefault="001650CC" w:rsidP="00C42834">
            <w:r w:rsidRPr="00804B6F">
              <w:t>Trading Standards</w:t>
            </w:r>
          </w:p>
        </w:tc>
        <w:tc>
          <w:tcPr>
            <w:tcW w:w="3260" w:type="dxa"/>
          </w:tcPr>
          <w:p w:rsidR="001650CC" w:rsidRDefault="001650CC" w:rsidP="00C42834">
            <w:r w:rsidRPr="00A02289">
              <w:t>No representations received</w:t>
            </w:r>
          </w:p>
        </w:tc>
        <w:tc>
          <w:tcPr>
            <w:tcW w:w="2605" w:type="dxa"/>
          </w:tcPr>
          <w:p w:rsidR="001650CC" w:rsidRDefault="001650CC" w:rsidP="00C42834"/>
        </w:tc>
      </w:tr>
      <w:tr w:rsidR="001650CC" w:rsidTr="0005396A">
        <w:tc>
          <w:tcPr>
            <w:tcW w:w="2660" w:type="dxa"/>
          </w:tcPr>
          <w:p w:rsidR="001650CC" w:rsidRDefault="001650CC" w:rsidP="00C42834">
            <w:r w:rsidRPr="00804B6F">
              <w:t>Area Child Protection Service</w:t>
            </w:r>
          </w:p>
        </w:tc>
        <w:tc>
          <w:tcPr>
            <w:tcW w:w="3260" w:type="dxa"/>
          </w:tcPr>
          <w:p w:rsidR="001650CC" w:rsidRDefault="001650CC" w:rsidP="00C42834">
            <w:r w:rsidRPr="00A02289">
              <w:t>No representations received</w:t>
            </w:r>
          </w:p>
        </w:tc>
        <w:tc>
          <w:tcPr>
            <w:tcW w:w="2605" w:type="dxa"/>
          </w:tcPr>
          <w:p w:rsidR="001650CC" w:rsidRDefault="001650CC" w:rsidP="00C42834"/>
        </w:tc>
      </w:tr>
      <w:tr w:rsidR="001650CC" w:rsidTr="0005396A">
        <w:tc>
          <w:tcPr>
            <w:tcW w:w="2660" w:type="dxa"/>
          </w:tcPr>
          <w:p w:rsidR="001650CC" w:rsidRPr="003C0C20" w:rsidRDefault="001650CC" w:rsidP="001650CC">
            <w:pPr>
              <w:rPr>
                <w:b/>
              </w:rPr>
            </w:pPr>
            <w:r w:rsidRPr="003C0C20">
              <w:rPr>
                <w:b/>
              </w:rPr>
              <w:t xml:space="preserve">Metropolitan Police Service </w:t>
            </w:r>
          </w:p>
        </w:tc>
        <w:tc>
          <w:tcPr>
            <w:tcW w:w="3260" w:type="dxa"/>
          </w:tcPr>
          <w:p w:rsidR="001650CC" w:rsidRDefault="001650CC" w:rsidP="00C42834">
            <w:r w:rsidRPr="00A02289">
              <w:rPr>
                <w:b/>
              </w:rPr>
              <w:t>Representation received</w:t>
            </w:r>
          </w:p>
        </w:tc>
        <w:tc>
          <w:tcPr>
            <w:tcW w:w="2605" w:type="dxa"/>
          </w:tcPr>
          <w:p w:rsidR="001650CC" w:rsidRDefault="001650CC" w:rsidP="00C42834">
            <w:r>
              <w:rPr>
                <w:rFonts w:ascii="ArialMT" w:hAnsi="ArialMT" w:cs="ArialMT"/>
                <w:szCs w:val="24"/>
                <w:lang w:eastAsia="en-GB"/>
              </w:rPr>
              <w:t>Prevention of Crime and Disorder</w:t>
            </w:r>
            <w:r w:rsidR="005E3DBD">
              <w:rPr>
                <w:rFonts w:ascii="ArialMT" w:hAnsi="ArialMT" w:cs="ArialMT"/>
                <w:szCs w:val="24"/>
                <w:lang w:eastAsia="en-GB"/>
              </w:rPr>
              <w:t xml:space="preserve"> &amp; Public Safety - </w:t>
            </w:r>
            <w:r w:rsidRPr="001650CC">
              <w:rPr>
                <w:rFonts w:ascii="ArialMT" w:hAnsi="ArialMT" w:cs="ArialMT"/>
                <w:b/>
                <w:szCs w:val="24"/>
                <w:lang w:eastAsia="en-GB"/>
              </w:rPr>
              <w:t>Appendix 4</w:t>
            </w:r>
          </w:p>
        </w:tc>
      </w:tr>
      <w:tr w:rsidR="001650CC" w:rsidTr="0005396A">
        <w:tc>
          <w:tcPr>
            <w:tcW w:w="2660" w:type="dxa"/>
          </w:tcPr>
          <w:p w:rsidR="001650CC" w:rsidRPr="003C0C20" w:rsidRDefault="001650CC" w:rsidP="00C42834">
            <w:pPr>
              <w:rPr>
                <w:b/>
              </w:rPr>
            </w:pPr>
            <w:r w:rsidRPr="003C0C20">
              <w:rPr>
                <w:b/>
              </w:rPr>
              <w:t>Licensing Authority</w:t>
            </w:r>
          </w:p>
        </w:tc>
        <w:tc>
          <w:tcPr>
            <w:tcW w:w="3260" w:type="dxa"/>
          </w:tcPr>
          <w:p w:rsidR="001650CC" w:rsidRDefault="001650CC" w:rsidP="00C42834">
            <w:r w:rsidRPr="00A02289">
              <w:rPr>
                <w:b/>
              </w:rPr>
              <w:t>Representation received</w:t>
            </w:r>
          </w:p>
        </w:tc>
        <w:tc>
          <w:tcPr>
            <w:tcW w:w="2605" w:type="dxa"/>
          </w:tcPr>
          <w:p w:rsidR="001650CC" w:rsidRDefault="001650CC" w:rsidP="00C42834">
            <w:r>
              <w:rPr>
                <w:rFonts w:ascii="ArialMT" w:hAnsi="ArialMT" w:cs="ArialMT"/>
                <w:szCs w:val="24"/>
                <w:lang w:eastAsia="en-GB"/>
              </w:rPr>
              <w:t>Prevention of Crime and Disorder</w:t>
            </w:r>
            <w:r w:rsidR="005E3DBD">
              <w:rPr>
                <w:rFonts w:ascii="ArialMT" w:hAnsi="ArialMT" w:cs="ArialMT"/>
                <w:szCs w:val="24"/>
                <w:lang w:eastAsia="en-GB"/>
              </w:rPr>
              <w:t xml:space="preserve">, Public Safety &amp; Protection of Children from Harm </w:t>
            </w:r>
            <w:r>
              <w:rPr>
                <w:rFonts w:ascii="ArialMT" w:hAnsi="ArialMT" w:cs="ArialMT"/>
                <w:szCs w:val="24"/>
                <w:lang w:eastAsia="en-GB"/>
              </w:rPr>
              <w:t xml:space="preserve"> </w:t>
            </w:r>
            <w:r w:rsidR="005E3DBD">
              <w:rPr>
                <w:rFonts w:ascii="ArialMT" w:hAnsi="ArialMT" w:cs="ArialMT"/>
                <w:szCs w:val="24"/>
                <w:lang w:eastAsia="en-GB"/>
              </w:rPr>
              <w:t xml:space="preserve">- </w:t>
            </w:r>
            <w:r w:rsidRPr="00FD2D72">
              <w:rPr>
                <w:rFonts w:ascii="ArialMT" w:hAnsi="ArialMT" w:cs="ArialMT"/>
                <w:b/>
                <w:szCs w:val="24"/>
                <w:lang w:eastAsia="en-GB"/>
              </w:rPr>
              <w:t>Appendix 5</w:t>
            </w:r>
            <w:r>
              <w:rPr>
                <w:rFonts w:ascii="ArialMT" w:hAnsi="ArialMT" w:cs="ArialMT"/>
                <w:szCs w:val="24"/>
                <w:lang w:eastAsia="en-GB"/>
              </w:rPr>
              <w:t xml:space="preserve"> </w:t>
            </w:r>
          </w:p>
        </w:tc>
      </w:tr>
      <w:tr w:rsidR="001650CC" w:rsidTr="0005396A">
        <w:tc>
          <w:tcPr>
            <w:tcW w:w="2660" w:type="dxa"/>
          </w:tcPr>
          <w:p w:rsidR="001650CC" w:rsidRDefault="001650CC" w:rsidP="00C42834">
            <w:r w:rsidRPr="00804B6F">
              <w:t>London Fire Brigade</w:t>
            </w:r>
          </w:p>
        </w:tc>
        <w:tc>
          <w:tcPr>
            <w:tcW w:w="3260" w:type="dxa"/>
          </w:tcPr>
          <w:p w:rsidR="001650CC" w:rsidRDefault="001650CC" w:rsidP="00C42834">
            <w:r w:rsidRPr="00A02289">
              <w:t>No representations received</w:t>
            </w:r>
          </w:p>
        </w:tc>
        <w:tc>
          <w:tcPr>
            <w:tcW w:w="2605" w:type="dxa"/>
          </w:tcPr>
          <w:p w:rsidR="001650CC" w:rsidRDefault="001650CC" w:rsidP="00C42834"/>
        </w:tc>
      </w:tr>
    </w:tbl>
    <w:p w:rsidR="0005396A" w:rsidRDefault="0005396A" w:rsidP="00C42834">
      <w:pPr>
        <w:pStyle w:val="Footer"/>
        <w:rPr>
          <w:rFonts w:ascii="Arial Black" w:hAnsi="Arial Black"/>
          <w:sz w:val="32"/>
        </w:rPr>
      </w:pPr>
    </w:p>
    <w:p w:rsidR="009A7188" w:rsidRDefault="009A7188" w:rsidP="009A7188">
      <w:pPr>
        <w:pStyle w:val="BodyTextIndent"/>
        <w:spacing w:after="0"/>
        <w:ind w:left="0"/>
      </w:pPr>
      <w:r>
        <w:t>There have been two representations in favour of the review.  Both representations are from responsible authorities.</w:t>
      </w:r>
    </w:p>
    <w:p w:rsidR="009A7188" w:rsidRDefault="009A7188" w:rsidP="009A7188">
      <w:pPr>
        <w:pStyle w:val="BodyTextIndent"/>
        <w:spacing w:after="0"/>
      </w:pPr>
    </w:p>
    <w:p w:rsidR="009A7188" w:rsidRDefault="009A7188" w:rsidP="009A7188">
      <w:pPr>
        <w:pStyle w:val="BodyTextIndent"/>
        <w:numPr>
          <w:ilvl w:val="0"/>
          <w:numId w:val="38"/>
        </w:numPr>
        <w:spacing w:after="0"/>
      </w:pPr>
      <w:r w:rsidRPr="0005396A">
        <w:rPr>
          <w:b/>
        </w:rPr>
        <w:lastRenderedPageBreak/>
        <w:t>Appendix 4</w:t>
      </w:r>
      <w:r>
        <w:t xml:space="preserve"> for representation from the Metropolitan Police Service</w:t>
      </w:r>
    </w:p>
    <w:p w:rsidR="009A7188" w:rsidRDefault="009A7188" w:rsidP="009A7188">
      <w:pPr>
        <w:pStyle w:val="BodyTextIndent"/>
        <w:numPr>
          <w:ilvl w:val="0"/>
          <w:numId w:val="38"/>
        </w:numPr>
        <w:spacing w:after="0"/>
      </w:pPr>
      <w:r w:rsidRPr="0005396A">
        <w:rPr>
          <w:b/>
        </w:rPr>
        <w:t>Appendix 5</w:t>
      </w:r>
      <w:r>
        <w:t xml:space="preserve"> for representation f</w:t>
      </w:r>
      <w:r w:rsidR="00A14EC5">
        <w:t>ro</w:t>
      </w:r>
      <w:r>
        <w:t>m the London Borough of Harrow as Licensing Authority.</w:t>
      </w:r>
    </w:p>
    <w:p w:rsidR="009A7188" w:rsidRDefault="009A7188" w:rsidP="00C42834">
      <w:pPr>
        <w:pStyle w:val="Footer"/>
        <w:rPr>
          <w:rFonts w:ascii="Arial Black" w:hAnsi="Arial Black"/>
          <w:sz w:val="32"/>
        </w:rPr>
      </w:pPr>
    </w:p>
    <w:p w:rsidR="00C42834" w:rsidRPr="006E76A2" w:rsidRDefault="00C42834" w:rsidP="00C42834">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rsidR="00C42834" w:rsidRDefault="00C42834" w:rsidP="00C42834">
      <w:r>
        <w:t>No representations have been received from ‘other persons’</w:t>
      </w:r>
    </w:p>
    <w:p w:rsidR="00C42834" w:rsidRDefault="00C42834" w:rsidP="00FD2D72">
      <w:pPr>
        <w:pStyle w:val="BodyTextIndent"/>
        <w:spacing w:after="0"/>
        <w:ind w:left="1920"/>
      </w:pPr>
    </w:p>
    <w:p w:rsidR="00C42834" w:rsidRDefault="00C42834" w:rsidP="00FD2D72">
      <w:pPr>
        <w:pStyle w:val="BodyTextIndent"/>
        <w:spacing w:after="0"/>
        <w:ind w:left="1920"/>
      </w:pPr>
    </w:p>
    <w:p w:rsidR="00A14EC5" w:rsidRDefault="00C42834" w:rsidP="00A14EC5">
      <w:pPr>
        <w:pStyle w:val="BodyTextIndent"/>
        <w:numPr>
          <w:ilvl w:val="0"/>
          <w:numId w:val="24"/>
        </w:numPr>
        <w:spacing w:after="0"/>
        <w:rPr>
          <w:u w:val="single"/>
        </w:rPr>
      </w:pPr>
      <w:r w:rsidRPr="00C72835">
        <w:rPr>
          <w:u w:val="single"/>
        </w:rPr>
        <w:t>Background Information</w:t>
      </w:r>
      <w:r w:rsidR="00A14EC5">
        <w:rPr>
          <w:u w:val="single"/>
        </w:rPr>
        <w:t xml:space="preserve"> / </w:t>
      </w:r>
      <w:r w:rsidR="00A14EC5" w:rsidRPr="00C72835">
        <w:rPr>
          <w:u w:val="single"/>
        </w:rPr>
        <w:t>Licensing history</w:t>
      </w:r>
    </w:p>
    <w:p w:rsidR="009F6391" w:rsidRDefault="009F6391" w:rsidP="00011AC3">
      <w:pPr>
        <w:pStyle w:val="BodyTextIndent"/>
        <w:spacing w:after="0"/>
        <w:ind w:left="0"/>
        <w:rPr>
          <w:u w:val="single"/>
        </w:rPr>
      </w:pPr>
    </w:p>
    <w:p w:rsidR="009F6391" w:rsidRDefault="00A14EC5" w:rsidP="009A7188">
      <w:pPr>
        <w:pStyle w:val="BodyTextIndent"/>
        <w:numPr>
          <w:ilvl w:val="1"/>
          <w:numId w:val="24"/>
        </w:numPr>
        <w:spacing w:after="0"/>
      </w:pPr>
      <w:r>
        <w:t xml:space="preserve"> </w:t>
      </w:r>
      <w:r w:rsidR="00F663F3">
        <w:t>The p</w:t>
      </w:r>
      <w:r w:rsidR="009F6391" w:rsidRPr="009F6391">
        <w:t>remises</w:t>
      </w:r>
      <w:r w:rsidR="003C0C20" w:rsidRPr="009F6391">
        <w:t xml:space="preserve"> became licensed as a restaurant in June </w:t>
      </w:r>
      <w:proofErr w:type="gramStart"/>
      <w:r w:rsidR="003C0C20" w:rsidRPr="009F6391">
        <w:t>2011,</w:t>
      </w:r>
      <w:proofErr w:type="gramEnd"/>
      <w:r w:rsidR="003C0C20" w:rsidRPr="009F6391">
        <w:t xml:space="preserve"> this was under the former name of Secret Recipe</w:t>
      </w:r>
      <w:r w:rsidR="00A55D41">
        <w:t>.</w:t>
      </w:r>
      <w:r w:rsidR="003C0C20" w:rsidRPr="009F6391">
        <w:t xml:space="preserve"> </w:t>
      </w:r>
    </w:p>
    <w:p w:rsidR="009F6391" w:rsidRDefault="009F6391" w:rsidP="009F6391">
      <w:pPr>
        <w:pStyle w:val="BodyTextIndent"/>
        <w:spacing w:after="0"/>
        <w:ind w:left="960"/>
      </w:pPr>
    </w:p>
    <w:p w:rsidR="009F6391" w:rsidRPr="009F6391" w:rsidRDefault="00A14EC5" w:rsidP="009F6391">
      <w:pPr>
        <w:pStyle w:val="BodyTextIndent"/>
        <w:numPr>
          <w:ilvl w:val="1"/>
          <w:numId w:val="24"/>
        </w:numPr>
        <w:spacing w:after="0"/>
      </w:pPr>
      <w:r>
        <w:t xml:space="preserve"> </w:t>
      </w:r>
      <w:r w:rsidR="009F6391" w:rsidRPr="009F6391">
        <w:t>The premises changed</w:t>
      </w:r>
      <w:r w:rsidR="00F663F3">
        <w:t xml:space="preserve"> its</w:t>
      </w:r>
      <w:r w:rsidR="009F6391" w:rsidRPr="009F6391">
        <w:t xml:space="preserve"> name to Mr Sushi, followed at the same time by </w:t>
      </w:r>
      <w:r w:rsidR="00F663F3">
        <w:t xml:space="preserve">a </w:t>
      </w:r>
      <w:r w:rsidR="009F6391" w:rsidRPr="009F6391">
        <w:t xml:space="preserve">transfer of ownership and </w:t>
      </w:r>
      <w:r w:rsidR="00011AC3">
        <w:t>c</w:t>
      </w:r>
      <w:r w:rsidR="009F6391" w:rsidRPr="009F6391">
        <w:t xml:space="preserve">hange of Designated Premises Supervisor to the current owner </w:t>
      </w:r>
      <w:r w:rsidR="00011AC3">
        <w:t xml:space="preserve">and DPS </w:t>
      </w:r>
      <w:r w:rsidR="009F6391" w:rsidRPr="009F6391">
        <w:t>Ms Li Hua Tian.  These changes were effective</w:t>
      </w:r>
      <w:r w:rsidR="00011AC3">
        <w:t xml:space="preserve"> as of</w:t>
      </w:r>
      <w:r w:rsidR="009F6391" w:rsidRPr="009F6391">
        <w:t xml:space="preserve"> August 2014</w:t>
      </w:r>
      <w:r w:rsidR="00A55D41">
        <w:t>.</w:t>
      </w:r>
    </w:p>
    <w:p w:rsidR="00CB373D" w:rsidRPr="00AE65A4" w:rsidRDefault="00CB373D" w:rsidP="00023098">
      <w:pPr>
        <w:pStyle w:val="BodyTextIndent"/>
        <w:spacing w:after="0"/>
        <w:ind w:left="0"/>
        <w:rPr>
          <w:u w:val="single"/>
        </w:rPr>
      </w:pPr>
    </w:p>
    <w:p w:rsidR="00023098" w:rsidRDefault="00CB373D" w:rsidP="00023098">
      <w:pPr>
        <w:pStyle w:val="BodyTextIndent"/>
        <w:numPr>
          <w:ilvl w:val="0"/>
          <w:numId w:val="24"/>
        </w:numPr>
        <w:spacing w:after="0"/>
        <w:rPr>
          <w:u w:val="single"/>
        </w:rPr>
      </w:pPr>
      <w:r w:rsidRPr="007D272A">
        <w:rPr>
          <w:u w:val="single"/>
        </w:rPr>
        <w:t>Officer observations</w:t>
      </w:r>
      <w:r w:rsidR="00807DD0">
        <w:rPr>
          <w:u w:val="single"/>
        </w:rPr>
        <w:t xml:space="preserve"> in summary</w:t>
      </w:r>
    </w:p>
    <w:p w:rsidR="00A55D41" w:rsidRDefault="00CB373D" w:rsidP="00023098">
      <w:pPr>
        <w:pStyle w:val="BodyTextIndent"/>
        <w:spacing w:after="0"/>
        <w:ind w:left="360"/>
        <w:rPr>
          <w:rFonts w:cs="Arial"/>
          <w:szCs w:val="24"/>
        </w:rPr>
      </w:pPr>
      <w:r w:rsidRPr="007D272A">
        <w:rPr>
          <w:u w:val="single"/>
        </w:rPr>
        <w:br/>
      </w:r>
      <w:r w:rsidR="006248F9" w:rsidRPr="00A55D41">
        <w:rPr>
          <w:rFonts w:cs="Arial"/>
          <w:szCs w:val="24"/>
        </w:rPr>
        <w:t xml:space="preserve">Since the change of ownership in 2014 licensing officers have </w:t>
      </w:r>
      <w:r w:rsidR="000D0467">
        <w:rPr>
          <w:rFonts w:cs="Arial"/>
          <w:szCs w:val="24"/>
        </w:rPr>
        <w:t xml:space="preserve">not </w:t>
      </w:r>
      <w:r w:rsidR="006248F9" w:rsidRPr="00A55D41">
        <w:rPr>
          <w:rFonts w:cs="Arial"/>
          <w:szCs w:val="24"/>
        </w:rPr>
        <w:t>had to visit the premises</w:t>
      </w:r>
      <w:r w:rsidR="000D0467">
        <w:rPr>
          <w:rFonts w:cs="Arial"/>
          <w:szCs w:val="24"/>
        </w:rPr>
        <w:t xml:space="preserve"> following </w:t>
      </w:r>
      <w:proofErr w:type="gramStart"/>
      <w:r w:rsidR="000D0467">
        <w:rPr>
          <w:rFonts w:cs="Arial"/>
          <w:szCs w:val="24"/>
        </w:rPr>
        <w:t>complaints,</w:t>
      </w:r>
      <w:proofErr w:type="gramEnd"/>
      <w:r w:rsidR="000D0467">
        <w:rPr>
          <w:rFonts w:cs="Arial"/>
          <w:szCs w:val="24"/>
        </w:rPr>
        <w:t xml:space="preserve"> however suspension notices were served in 2017 and 2018 for failure to pay the annual fee</w:t>
      </w:r>
      <w:r w:rsidR="00D4343B">
        <w:rPr>
          <w:rFonts w:cs="Arial"/>
          <w:szCs w:val="24"/>
        </w:rPr>
        <w:t xml:space="preserve"> </w:t>
      </w:r>
      <w:r w:rsidR="000D0467">
        <w:rPr>
          <w:rFonts w:cs="Arial"/>
          <w:szCs w:val="24"/>
        </w:rPr>
        <w:t>in</w:t>
      </w:r>
      <w:r w:rsidR="00D4343B">
        <w:rPr>
          <w:rFonts w:cs="Arial"/>
          <w:szCs w:val="24"/>
        </w:rPr>
        <w:t xml:space="preserve"> time</w:t>
      </w:r>
      <w:r w:rsidR="006248F9" w:rsidRPr="00A55D41">
        <w:rPr>
          <w:rFonts w:cs="Arial"/>
          <w:szCs w:val="24"/>
        </w:rPr>
        <w:t xml:space="preserve">.  </w:t>
      </w:r>
      <w:r w:rsidR="00D4343B">
        <w:rPr>
          <w:rFonts w:cs="Arial"/>
          <w:szCs w:val="24"/>
        </w:rPr>
        <w:t>S</w:t>
      </w:r>
      <w:r w:rsidR="006248F9" w:rsidRPr="00A55D41">
        <w:rPr>
          <w:rFonts w:cs="Arial"/>
          <w:szCs w:val="24"/>
        </w:rPr>
        <w:t xml:space="preserve">ince </w:t>
      </w:r>
      <w:r w:rsidR="00B02881" w:rsidRPr="00A55D41">
        <w:rPr>
          <w:rFonts w:cs="Arial"/>
          <w:szCs w:val="24"/>
        </w:rPr>
        <w:t>the submission of the review application in November 2019, the following actions and stepped approach to secure compliance ha</w:t>
      </w:r>
      <w:r w:rsidR="000D0467">
        <w:rPr>
          <w:rFonts w:cs="Arial"/>
          <w:szCs w:val="24"/>
        </w:rPr>
        <w:t>ve</w:t>
      </w:r>
      <w:r w:rsidR="00B02881" w:rsidRPr="00A55D41">
        <w:rPr>
          <w:rFonts w:cs="Arial"/>
          <w:szCs w:val="24"/>
        </w:rPr>
        <w:t xml:space="preserve"> been taken. </w:t>
      </w:r>
    </w:p>
    <w:p w:rsidR="00D64996" w:rsidRPr="00A55D41" w:rsidRDefault="00B02881" w:rsidP="00023098">
      <w:pPr>
        <w:pStyle w:val="BodyTextIndent"/>
        <w:spacing w:after="0"/>
        <w:ind w:left="360"/>
        <w:rPr>
          <w:rFonts w:cs="Arial"/>
          <w:szCs w:val="24"/>
        </w:rPr>
      </w:pPr>
      <w:r w:rsidRPr="00A55D41">
        <w:rPr>
          <w:rFonts w:cs="Arial"/>
          <w:szCs w:val="24"/>
        </w:rPr>
        <w:t xml:space="preserve"> </w:t>
      </w:r>
    </w:p>
    <w:p w:rsidR="007C1869" w:rsidRDefault="00DC3DCC" w:rsidP="00A55D41">
      <w:pPr>
        <w:pStyle w:val="BodyTextIndent"/>
        <w:numPr>
          <w:ilvl w:val="0"/>
          <w:numId w:val="39"/>
        </w:numPr>
        <w:spacing w:after="0"/>
        <w:rPr>
          <w:rFonts w:cs="Arial"/>
          <w:szCs w:val="24"/>
        </w:rPr>
      </w:pPr>
      <w:r w:rsidRPr="00A55D41">
        <w:rPr>
          <w:rFonts w:cs="Arial"/>
          <w:b/>
          <w:szCs w:val="24"/>
        </w:rPr>
        <w:t>28/11/2019</w:t>
      </w:r>
      <w:r w:rsidRPr="00A55D41">
        <w:rPr>
          <w:rFonts w:cs="Arial"/>
          <w:szCs w:val="24"/>
        </w:rPr>
        <w:t xml:space="preserve"> </w:t>
      </w:r>
      <w:r w:rsidR="007C1869">
        <w:rPr>
          <w:rFonts w:cs="Arial"/>
          <w:szCs w:val="24"/>
        </w:rPr>
        <w:t>– The Home Office</w:t>
      </w:r>
      <w:r w:rsidR="008A5958">
        <w:rPr>
          <w:rFonts w:cs="Arial"/>
          <w:szCs w:val="24"/>
        </w:rPr>
        <w:t xml:space="preserve"> </w:t>
      </w:r>
      <w:r w:rsidR="007C1869">
        <w:rPr>
          <w:rFonts w:cs="Arial"/>
          <w:szCs w:val="24"/>
        </w:rPr>
        <w:t xml:space="preserve">submitted a review </w:t>
      </w:r>
      <w:r w:rsidR="002C2697">
        <w:rPr>
          <w:rFonts w:cs="Arial"/>
          <w:szCs w:val="24"/>
        </w:rPr>
        <w:t xml:space="preserve">of Premises Licence on grounds that the licence holder had failed to meet licensing objectives. For the third time in two years, illegal working had been identified at the </w:t>
      </w:r>
      <w:r w:rsidR="008A5958">
        <w:rPr>
          <w:rFonts w:cs="Arial"/>
          <w:szCs w:val="24"/>
        </w:rPr>
        <w:t>premises</w:t>
      </w:r>
      <w:r w:rsidR="002C2697">
        <w:rPr>
          <w:rFonts w:cs="Arial"/>
          <w:szCs w:val="24"/>
        </w:rPr>
        <w:t xml:space="preserve"> with 5 persons found to have no permission to work legally in the UK</w:t>
      </w:r>
    </w:p>
    <w:p w:rsidR="00F663F3" w:rsidRDefault="00F663F3" w:rsidP="00D227F5">
      <w:pPr>
        <w:pStyle w:val="BodyTextIndent"/>
        <w:spacing w:after="0"/>
        <w:ind w:left="1080"/>
        <w:rPr>
          <w:rFonts w:cs="Arial"/>
          <w:szCs w:val="24"/>
        </w:rPr>
      </w:pPr>
    </w:p>
    <w:p w:rsidR="00F663F3" w:rsidRDefault="007C1869" w:rsidP="00A55D41">
      <w:pPr>
        <w:pStyle w:val="BodyTextIndent"/>
        <w:numPr>
          <w:ilvl w:val="0"/>
          <w:numId w:val="39"/>
        </w:numPr>
        <w:spacing w:after="0"/>
        <w:rPr>
          <w:rFonts w:cs="Arial"/>
          <w:szCs w:val="24"/>
        </w:rPr>
      </w:pPr>
      <w:r>
        <w:rPr>
          <w:rFonts w:cs="Arial"/>
          <w:b/>
          <w:szCs w:val="24"/>
        </w:rPr>
        <w:t xml:space="preserve">28/11/2019 </w:t>
      </w:r>
      <w:r w:rsidRPr="008A5958">
        <w:rPr>
          <w:rFonts w:cs="Arial"/>
          <w:szCs w:val="24"/>
        </w:rPr>
        <w:t>-</w:t>
      </w:r>
      <w:r>
        <w:rPr>
          <w:rFonts w:cs="Arial"/>
          <w:szCs w:val="24"/>
        </w:rPr>
        <w:t xml:space="preserve"> </w:t>
      </w:r>
      <w:r w:rsidR="00B02881" w:rsidRPr="00A55D41">
        <w:rPr>
          <w:rFonts w:cs="Arial"/>
          <w:szCs w:val="24"/>
        </w:rPr>
        <w:t xml:space="preserve">Site Visited 28 November 2019 to affix </w:t>
      </w:r>
      <w:r w:rsidR="00680ADD" w:rsidRPr="00A55D41">
        <w:rPr>
          <w:rFonts w:cs="Arial"/>
          <w:szCs w:val="24"/>
        </w:rPr>
        <w:t>Review Application Public Notice;</w:t>
      </w:r>
      <w:r w:rsidR="00B02881" w:rsidRPr="00A55D41">
        <w:rPr>
          <w:rFonts w:cs="Arial"/>
          <w:szCs w:val="24"/>
        </w:rPr>
        <w:t xml:space="preserve"> this notice can be seen in the photograph attached as Appendix 3.  </w:t>
      </w:r>
      <w:r w:rsidR="00680ADD" w:rsidRPr="00A55D41">
        <w:rPr>
          <w:rFonts w:cs="Arial"/>
          <w:szCs w:val="24"/>
        </w:rPr>
        <w:t>Licensing Officer – Charlene Ellis was met by staff member Yousef Mohammedi, Site Manager Mr Long Tian and Licence Holder and DPS Li Hua Tian.  T</w:t>
      </w:r>
      <w:r w:rsidR="00B02881" w:rsidRPr="00A55D41">
        <w:rPr>
          <w:rFonts w:cs="Arial"/>
          <w:szCs w:val="24"/>
        </w:rPr>
        <w:t xml:space="preserve">here were several </w:t>
      </w:r>
      <w:r w:rsidR="00927C6A">
        <w:rPr>
          <w:rFonts w:cs="Arial"/>
          <w:szCs w:val="24"/>
        </w:rPr>
        <w:t xml:space="preserve">evident </w:t>
      </w:r>
      <w:r w:rsidR="00B02881" w:rsidRPr="00A55D41">
        <w:rPr>
          <w:rFonts w:cs="Arial"/>
          <w:szCs w:val="24"/>
        </w:rPr>
        <w:t xml:space="preserve">areas of </w:t>
      </w:r>
      <w:r w:rsidR="00680ADD" w:rsidRPr="00A55D41">
        <w:rPr>
          <w:rFonts w:cs="Arial"/>
          <w:szCs w:val="24"/>
        </w:rPr>
        <w:t xml:space="preserve">immediate </w:t>
      </w:r>
      <w:r w:rsidR="00B02881" w:rsidRPr="00A55D41">
        <w:rPr>
          <w:rFonts w:cs="Arial"/>
          <w:szCs w:val="24"/>
        </w:rPr>
        <w:t>non-compliance.  No Premises Licence or Summary were on display and could not be located</w:t>
      </w:r>
      <w:r w:rsidR="00F663F3">
        <w:rPr>
          <w:rFonts w:cs="Arial"/>
          <w:szCs w:val="24"/>
        </w:rPr>
        <w:t xml:space="preserve"> at time of visit</w:t>
      </w:r>
      <w:r w:rsidR="00B02881" w:rsidRPr="00A55D41">
        <w:rPr>
          <w:rFonts w:cs="Arial"/>
          <w:szCs w:val="24"/>
        </w:rPr>
        <w:t>.  Ms Li Hua Tian was unable to produce her Personal Licence</w:t>
      </w:r>
      <w:r w:rsidR="00680ADD" w:rsidRPr="00A55D41">
        <w:rPr>
          <w:rFonts w:cs="Arial"/>
          <w:szCs w:val="24"/>
        </w:rPr>
        <w:t xml:space="preserve">.  </w:t>
      </w:r>
    </w:p>
    <w:p w:rsidR="00F663F3" w:rsidRDefault="00F663F3" w:rsidP="008625BF">
      <w:pPr>
        <w:pStyle w:val="BodyTextIndent"/>
        <w:spacing w:after="0"/>
        <w:ind w:left="1080"/>
        <w:rPr>
          <w:rFonts w:cs="Arial"/>
          <w:szCs w:val="24"/>
        </w:rPr>
      </w:pPr>
    </w:p>
    <w:p w:rsidR="009A7211" w:rsidRDefault="00680ADD" w:rsidP="008625BF">
      <w:pPr>
        <w:pStyle w:val="BodyTextIndent"/>
        <w:spacing w:after="0"/>
        <w:ind w:left="1080"/>
        <w:rPr>
          <w:rFonts w:cs="Arial"/>
          <w:szCs w:val="24"/>
        </w:rPr>
      </w:pPr>
      <w:r w:rsidRPr="00A55D41">
        <w:rPr>
          <w:rFonts w:cs="Arial"/>
          <w:szCs w:val="24"/>
        </w:rPr>
        <w:t xml:space="preserve">These are all </w:t>
      </w:r>
      <w:r w:rsidR="00A55D41" w:rsidRPr="00A55D41">
        <w:rPr>
          <w:rFonts w:cs="Arial"/>
          <w:szCs w:val="24"/>
        </w:rPr>
        <w:t>notable</w:t>
      </w:r>
      <w:r w:rsidR="009A7211" w:rsidRPr="00A55D41">
        <w:rPr>
          <w:rFonts w:cs="Arial"/>
          <w:szCs w:val="24"/>
        </w:rPr>
        <w:t xml:space="preserve"> offences under the Licensing Act 2003 subject to a Level 2</w:t>
      </w:r>
      <w:r w:rsidR="00F663F3">
        <w:rPr>
          <w:rFonts w:cs="Arial"/>
          <w:szCs w:val="24"/>
        </w:rPr>
        <w:t>, £500,</w:t>
      </w:r>
      <w:r w:rsidR="009A7211" w:rsidRPr="00A55D41">
        <w:rPr>
          <w:rFonts w:cs="Arial"/>
          <w:szCs w:val="24"/>
        </w:rPr>
        <w:t xml:space="preserve"> penalty fine without </w:t>
      </w:r>
      <w:r w:rsidR="00A55D41" w:rsidRPr="00A55D41">
        <w:rPr>
          <w:rFonts w:cs="Arial"/>
          <w:szCs w:val="24"/>
        </w:rPr>
        <w:t>reasonable</w:t>
      </w:r>
      <w:r w:rsidR="009A7211" w:rsidRPr="00A55D41">
        <w:rPr>
          <w:rFonts w:cs="Arial"/>
          <w:szCs w:val="24"/>
        </w:rPr>
        <w:t xml:space="preserve"> excuse</w:t>
      </w:r>
      <w:r w:rsidR="00A55D41">
        <w:rPr>
          <w:rFonts w:cs="Arial"/>
          <w:szCs w:val="24"/>
        </w:rPr>
        <w:t>.</w:t>
      </w:r>
    </w:p>
    <w:p w:rsidR="00A55D41" w:rsidRPr="00A55D41" w:rsidRDefault="00A55D41" w:rsidP="008625BF">
      <w:pPr>
        <w:pStyle w:val="BodyTextIndent"/>
        <w:spacing w:after="0"/>
        <w:ind w:left="1080"/>
        <w:rPr>
          <w:rFonts w:cs="Arial"/>
          <w:szCs w:val="24"/>
        </w:rPr>
      </w:pPr>
    </w:p>
    <w:p w:rsidR="00F663F3" w:rsidRDefault="00DC3DCC" w:rsidP="00A55D41">
      <w:pPr>
        <w:pStyle w:val="BodyTextIndent"/>
        <w:numPr>
          <w:ilvl w:val="0"/>
          <w:numId w:val="39"/>
        </w:numPr>
        <w:spacing w:after="0"/>
        <w:rPr>
          <w:rFonts w:cs="Arial"/>
          <w:szCs w:val="24"/>
        </w:rPr>
      </w:pPr>
      <w:r w:rsidRPr="00A55D41">
        <w:rPr>
          <w:rFonts w:cs="Arial"/>
          <w:b/>
          <w:szCs w:val="24"/>
        </w:rPr>
        <w:t>05/12/2019</w:t>
      </w:r>
      <w:r w:rsidRPr="00A55D41">
        <w:rPr>
          <w:rFonts w:cs="Arial"/>
          <w:szCs w:val="24"/>
        </w:rPr>
        <w:t xml:space="preserve"> - </w:t>
      </w:r>
      <w:r w:rsidR="009A7211" w:rsidRPr="00A55D41">
        <w:rPr>
          <w:rFonts w:cs="Arial"/>
          <w:szCs w:val="24"/>
        </w:rPr>
        <w:t xml:space="preserve">A full licensing inspection was carried out at the premises on 5 December 2019.  Licensing </w:t>
      </w:r>
      <w:r w:rsidR="00A55D41" w:rsidRPr="00A55D41">
        <w:rPr>
          <w:rFonts w:cs="Arial"/>
          <w:szCs w:val="24"/>
        </w:rPr>
        <w:t>Officer Charlene</w:t>
      </w:r>
      <w:r w:rsidR="009A7211" w:rsidRPr="00A55D41">
        <w:rPr>
          <w:rFonts w:cs="Arial"/>
          <w:szCs w:val="24"/>
        </w:rPr>
        <w:t xml:space="preserve"> Ellis met with site </w:t>
      </w:r>
      <w:r w:rsidR="00F663F3">
        <w:rPr>
          <w:rFonts w:cs="Arial"/>
          <w:szCs w:val="24"/>
        </w:rPr>
        <w:t xml:space="preserve">manager </w:t>
      </w:r>
      <w:r w:rsidR="009A7211" w:rsidRPr="00A55D41">
        <w:rPr>
          <w:rFonts w:cs="Arial"/>
          <w:szCs w:val="24"/>
        </w:rPr>
        <w:t xml:space="preserve">Mr Long Tian. Despite </w:t>
      </w:r>
      <w:r w:rsidR="00F663F3">
        <w:rPr>
          <w:rFonts w:cs="Arial"/>
          <w:szCs w:val="24"/>
        </w:rPr>
        <w:t xml:space="preserve">the </w:t>
      </w:r>
      <w:r w:rsidR="009A7211" w:rsidRPr="00A55D41">
        <w:rPr>
          <w:rFonts w:cs="Arial"/>
          <w:szCs w:val="24"/>
        </w:rPr>
        <w:t xml:space="preserve">notice of inspection </w:t>
      </w:r>
      <w:r w:rsidR="00F663F3">
        <w:rPr>
          <w:rFonts w:cs="Arial"/>
          <w:szCs w:val="24"/>
        </w:rPr>
        <w:t xml:space="preserve">being given prior to visit, </w:t>
      </w:r>
      <w:r w:rsidR="009A7211" w:rsidRPr="00A55D41">
        <w:rPr>
          <w:rFonts w:cs="Arial"/>
          <w:szCs w:val="24"/>
        </w:rPr>
        <w:t>a host of non-compliance issues were found</w:t>
      </w:r>
      <w:r w:rsidR="0001357D" w:rsidRPr="00A55D41">
        <w:rPr>
          <w:rFonts w:cs="Arial"/>
          <w:szCs w:val="24"/>
        </w:rPr>
        <w:t xml:space="preserve">, breaches of multiple licence conditions inclusive of no CCTV, no training logs, no refusal logs, no display of </w:t>
      </w:r>
      <w:r w:rsidR="00F663F3">
        <w:rPr>
          <w:rFonts w:cs="Arial"/>
          <w:szCs w:val="24"/>
        </w:rPr>
        <w:t xml:space="preserve">a </w:t>
      </w:r>
      <w:r w:rsidR="0001357D" w:rsidRPr="00A55D41">
        <w:rPr>
          <w:rFonts w:cs="Arial"/>
          <w:szCs w:val="24"/>
        </w:rPr>
        <w:t>challenge 21 policy</w:t>
      </w:r>
      <w:r w:rsidR="00F663F3">
        <w:rPr>
          <w:rFonts w:cs="Arial"/>
          <w:szCs w:val="24"/>
        </w:rPr>
        <w:t xml:space="preserve"> or printed materials </w:t>
      </w:r>
      <w:r w:rsidR="0001357D" w:rsidRPr="00A55D41">
        <w:rPr>
          <w:rFonts w:cs="Arial"/>
          <w:szCs w:val="24"/>
        </w:rPr>
        <w:t xml:space="preserve"> and no Premises Licence and Summary</w:t>
      </w:r>
      <w:r w:rsidR="00F663F3">
        <w:rPr>
          <w:rFonts w:cs="Arial"/>
          <w:szCs w:val="24"/>
        </w:rPr>
        <w:t xml:space="preserve"> were available</w:t>
      </w:r>
      <w:r w:rsidR="0001357D" w:rsidRPr="00A55D41">
        <w:rPr>
          <w:rFonts w:cs="Arial"/>
          <w:szCs w:val="24"/>
        </w:rPr>
        <w:t xml:space="preserve">.  </w:t>
      </w:r>
    </w:p>
    <w:p w:rsidR="00F663F3" w:rsidRDefault="00F663F3" w:rsidP="008625BF">
      <w:pPr>
        <w:pStyle w:val="BodyTextIndent"/>
        <w:spacing w:after="0"/>
        <w:ind w:left="1080"/>
        <w:rPr>
          <w:rFonts w:cs="Arial"/>
          <w:szCs w:val="24"/>
        </w:rPr>
      </w:pPr>
    </w:p>
    <w:p w:rsidR="00A55D41" w:rsidRDefault="0001357D" w:rsidP="008625BF">
      <w:pPr>
        <w:pStyle w:val="BodyTextIndent"/>
        <w:spacing w:after="0"/>
        <w:ind w:left="1080"/>
        <w:rPr>
          <w:rFonts w:cs="Arial"/>
          <w:szCs w:val="24"/>
        </w:rPr>
      </w:pPr>
      <w:r w:rsidRPr="00A55D41">
        <w:rPr>
          <w:rFonts w:cs="Arial"/>
          <w:szCs w:val="24"/>
        </w:rPr>
        <w:t xml:space="preserve">Full instruction was verbally given to Mr Tian to remedy matters at time of inspection, this was followed by written </w:t>
      </w:r>
      <w:r w:rsidR="00A55D41" w:rsidRPr="00A55D41">
        <w:rPr>
          <w:rFonts w:cs="Arial"/>
          <w:szCs w:val="24"/>
        </w:rPr>
        <w:t>correspondence</w:t>
      </w:r>
      <w:r w:rsidRPr="00A55D41">
        <w:rPr>
          <w:rFonts w:cs="Arial"/>
          <w:szCs w:val="24"/>
        </w:rPr>
        <w:t xml:space="preserve"> sent to the licence holder to action and is attached as </w:t>
      </w:r>
      <w:r w:rsidRPr="00A55D41">
        <w:rPr>
          <w:rFonts w:cs="Arial"/>
          <w:b/>
          <w:szCs w:val="24"/>
        </w:rPr>
        <w:t>Appendix 6</w:t>
      </w:r>
      <w:r w:rsidRPr="00A55D41">
        <w:rPr>
          <w:rFonts w:cs="Arial"/>
          <w:szCs w:val="24"/>
        </w:rPr>
        <w:t xml:space="preserve">. </w:t>
      </w:r>
    </w:p>
    <w:p w:rsidR="00A55D41" w:rsidRDefault="00A55D41" w:rsidP="00A55D41">
      <w:pPr>
        <w:pStyle w:val="BodyTextIndent"/>
        <w:spacing w:after="0"/>
        <w:ind w:left="1080"/>
        <w:rPr>
          <w:rFonts w:cs="Arial"/>
          <w:szCs w:val="24"/>
        </w:rPr>
      </w:pPr>
    </w:p>
    <w:p w:rsidR="00B02881" w:rsidRDefault="0001357D" w:rsidP="00A55D41">
      <w:pPr>
        <w:pStyle w:val="BodyTextIndent"/>
        <w:spacing w:after="0"/>
        <w:ind w:left="1080"/>
        <w:rPr>
          <w:rFonts w:cs="Arial"/>
          <w:szCs w:val="24"/>
        </w:rPr>
      </w:pPr>
      <w:r w:rsidRPr="00A55D41">
        <w:rPr>
          <w:rFonts w:cs="Arial"/>
          <w:szCs w:val="24"/>
        </w:rPr>
        <w:t xml:space="preserve">A period of 14 days from </w:t>
      </w:r>
      <w:r w:rsidR="00A55D41" w:rsidRPr="00A55D41">
        <w:rPr>
          <w:rFonts w:cs="Arial"/>
          <w:szCs w:val="24"/>
        </w:rPr>
        <w:t>initial</w:t>
      </w:r>
      <w:r w:rsidRPr="00A55D41">
        <w:rPr>
          <w:rFonts w:cs="Arial"/>
          <w:szCs w:val="24"/>
        </w:rPr>
        <w:t xml:space="preserve"> inspection was given to </w:t>
      </w:r>
      <w:r w:rsidR="00A55D41" w:rsidRPr="00A55D41">
        <w:rPr>
          <w:rFonts w:cs="Arial"/>
          <w:szCs w:val="24"/>
        </w:rPr>
        <w:t>rectify</w:t>
      </w:r>
      <w:r w:rsidRPr="00A55D41">
        <w:rPr>
          <w:rFonts w:cs="Arial"/>
          <w:szCs w:val="24"/>
        </w:rPr>
        <w:t xml:space="preserve"> matters with </w:t>
      </w:r>
      <w:r w:rsidR="00A55D41" w:rsidRPr="00A55D41">
        <w:rPr>
          <w:rFonts w:cs="Arial"/>
          <w:szCs w:val="24"/>
        </w:rPr>
        <w:t>deadline</w:t>
      </w:r>
      <w:r w:rsidRPr="00A55D41">
        <w:rPr>
          <w:rFonts w:cs="Arial"/>
          <w:szCs w:val="24"/>
        </w:rPr>
        <w:t xml:space="preserve"> of 19 December 2019</w:t>
      </w:r>
      <w:r w:rsidR="008B7EAD">
        <w:rPr>
          <w:rFonts w:cs="Arial"/>
          <w:szCs w:val="24"/>
        </w:rPr>
        <w:t>.</w:t>
      </w:r>
    </w:p>
    <w:p w:rsidR="002C2697" w:rsidRDefault="002C2697" w:rsidP="00A55D41">
      <w:pPr>
        <w:pStyle w:val="BodyTextIndent"/>
        <w:spacing w:after="0"/>
        <w:ind w:left="1080"/>
        <w:rPr>
          <w:rFonts w:cs="Arial"/>
          <w:szCs w:val="24"/>
        </w:rPr>
      </w:pPr>
    </w:p>
    <w:p w:rsidR="00F663F3" w:rsidRDefault="002C2697" w:rsidP="008A5958">
      <w:pPr>
        <w:pStyle w:val="BodyTextIndent"/>
        <w:numPr>
          <w:ilvl w:val="0"/>
          <w:numId w:val="39"/>
        </w:numPr>
        <w:spacing w:after="0"/>
        <w:rPr>
          <w:rFonts w:cs="Arial"/>
          <w:szCs w:val="24"/>
        </w:rPr>
      </w:pPr>
      <w:r w:rsidRPr="008625BF">
        <w:rPr>
          <w:rFonts w:cs="Arial"/>
          <w:b/>
          <w:szCs w:val="24"/>
        </w:rPr>
        <w:t>10/12/2019</w:t>
      </w:r>
      <w:r>
        <w:rPr>
          <w:rFonts w:cs="Arial"/>
          <w:szCs w:val="24"/>
        </w:rPr>
        <w:t xml:space="preserve"> </w:t>
      </w:r>
      <w:r w:rsidR="00F663F3">
        <w:rPr>
          <w:rFonts w:cs="Arial"/>
          <w:szCs w:val="24"/>
        </w:rPr>
        <w:t>–</w:t>
      </w:r>
      <w:r>
        <w:rPr>
          <w:rFonts w:cs="Arial"/>
          <w:szCs w:val="24"/>
        </w:rPr>
        <w:t xml:space="preserve"> </w:t>
      </w:r>
      <w:r w:rsidR="00F663F3">
        <w:rPr>
          <w:rFonts w:cs="Arial"/>
          <w:szCs w:val="24"/>
        </w:rPr>
        <w:t>A t</w:t>
      </w:r>
      <w:r>
        <w:rPr>
          <w:rFonts w:cs="Arial"/>
          <w:szCs w:val="24"/>
        </w:rPr>
        <w:t xml:space="preserve">elephone call </w:t>
      </w:r>
      <w:r w:rsidR="008625BF">
        <w:rPr>
          <w:rFonts w:cs="Arial"/>
          <w:szCs w:val="24"/>
        </w:rPr>
        <w:t xml:space="preserve">was </w:t>
      </w:r>
      <w:r>
        <w:rPr>
          <w:rFonts w:cs="Arial"/>
          <w:szCs w:val="24"/>
        </w:rPr>
        <w:t xml:space="preserve">taken from </w:t>
      </w:r>
      <w:r w:rsidRPr="002C2697">
        <w:rPr>
          <w:rFonts w:cs="Arial"/>
          <w:szCs w:val="24"/>
        </w:rPr>
        <w:t xml:space="preserve">Home Officer </w:t>
      </w:r>
      <w:r w:rsidR="008625BF" w:rsidRPr="002C2697">
        <w:rPr>
          <w:rFonts w:cs="Arial"/>
          <w:szCs w:val="24"/>
        </w:rPr>
        <w:t>officia</w:t>
      </w:r>
      <w:r w:rsidR="008625BF">
        <w:rPr>
          <w:rFonts w:cs="Arial"/>
          <w:szCs w:val="24"/>
        </w:rPr>
        <w:t>ls;</w:t>
      </w:r>
      <w:r w:rsidR="00F663F3">
        <w:rPr>
          <w:rFonts w:cs="Arial"/>
          <w:szCs w:val="24"/>
        </w:rPr>
        <w:t xml:space="preserve"> </w:t>
      </w:r>
      <w:r w:rsidR="008625BF">
        <w:rPr>
          <w:rFonts w:cs="Arial"/>
          <w:szCs w:val="24"/>
        </w:rPr>
        <w:t xml:space="preserve">this was </w:t>
      </w:r>
      <w:r w:rsidR="00F663F3">
        <w:rPr>
          <w:rFonts w:cs="Arial"/>
          <w:szCs w:val="24"/>
        </w:rPr>
        <w:t>made directly to the Licensing Service,</w:t>
      </w:r>
      <w:r w:rsidRPr="002C2697">
        <w:rPr>
          <w:rFonts w:cs="Arial"/>
          <w:szCs w:val="24"/>
        </w:rPr>
        <w:t xml:space="preserve"> </w:t>
      </w:r>
      <w:r w:rsidR="00F663F3" w:rsidRPr="002C2697">
        <w:rPr>
          <w:rFonts w:cs="Arial"/>
          <w:szCs w:val="24"/>
        </w:rPr>
        <w:t>confirm</w:t>
      </w:r>
      <w:r w:rsidR="008625BF">
        <w:rPr>
          <w:rFonts w:cs="Arial"/>
          <w:szCs w:val="24"/>
        </w:rPr>
        <w:t>ing</w:t>
      </w:r>
      <w:r w:rsidR="00F663F3" w:rsidRPr="002C2697">
        <w:rPr>
          <w:rFonts w:cs="Arial"/>
          <w:szCs w:val="24"/>
        </w:rPr>
        <w:t xml:space="preserve"> </w:t>
      </w:r>
      <w:r w:rsidRPr="002C2697">
        <w:rPr>
          <w:rFonts w:cs="Arial"/>
          <w:szCs w:val="24"/>
        </w:rPr>
        <w:t xml:space="preserve">a </w:t>
      </w:r>
      <w:r w:rsidR="00EE1231">
        <w:rPr>
          <w:rFonts w:cs="Arial"/>
          <w:szCs w:val="24"/>
        </w:rPr>
        <w:t>further</w:t>
      </w:r>
      <w:r w:rsidRPr="002C2697">
        <w:rPr>
          <w:rFonts w:cs="Arial"/>
          <w:szCs w:val="24"/>
        </w:rPr>
        <w:t xml:space="preserve"> visit </w:t>
      </w:r>
      <w:r>
        <w:rPr>
          <w:rFonts w:cs="Arial"/>
          <w:szCs w:val="24"/>
        </w:rPr>
        <w:t xml:space="preserve">to the </w:t>
      </w:r>
      <w:r w:rsidRPr="002C2697">
        <w:rPr>
          <w:rFonts w:cs="Arial"/>
          <w:szCs w:val="24"/>
        </w:rPr>
        <w:t xml:space="preserve">Mr Sushi </w:t>
      </w:r>
      <w:r>
        <w:rPr>
          <w:rFonts w:cs="Arial"/>
          <w:szCs w:val="24"/>
        </w:rPr>
        <w:t xml:space="preserve">site </w:t>
      </w:r>
      <w:r w:rsidRPr="002C2697">
        <w:rPr>
          <w:rFonts w:cs="Arial"/>
          <w:szCs w:val="24"/>
        </w:rPr>
        <w:t>was undert</w:t>
      </w:r>
      <w:r>
        <w:rPr>
          <w:rFonts w:cs="Arial"/>
          <w:szCs w:val="24"/>
        </w:rPr>
        <w:t>aken on 09/12/19</w:t>
      </w:r>
      <w:r w:rsidR="00EE1231">
        <w:rPr>
          <w:rFonts w:cs="Arial"/>
          <w:szCs w:val="24"/>
        </w:rPr>
        <w:t xml:space="preserve"> by Imm</w:t>
      </w:r>
      <w:r w:rsidR="00F37471">
        <w:rPr>
          <w:rFonts w:cs="Arial"/>
          <w:szCs w:val="24"/>
        </w:rPr>
        <w:t>i</w:t>
      </w:r>
      <w:r w:rsidR="00EE1231">
        <w:rPr>
          <w:rFonts w:cs="Arial"/>
          <w:szCs w:val="24"/>
        </w:rPr>
        <w:t>gration Officers William Gillies and Dan Nuttall</w:t>
      </w:r>
      <w:r>
        <w:rPr>
          <w:rFonts w:cs="Arial"/>
          <w:szCs w:val="24"/>
        </w:rPr>
        <w:t xml:space="preserve">.  </w:t>
      </w:r>
      <w:r w:rsidR="00EE1231">
        <w:rPr>
          <w:rFonts w:cs="Arial"/>
          <w:szCs w:val="24"/>
        </w:rPr>
        <w:t>Two</w:t>
      </w:r>
      <w:r>
        <w:rPr>
          <w:rFonts w:cs="Arial"/>
          <w:szCs w:val="24"/>
        </w:rPr>
        <w:t xml:space="preserve"> </w:t>
      </w:r>
      <w:r w:rsidR="008625BF">
        <w:rPr>
          <w:rFonts w:cs="Arial"/>
          <w:szCs w:val="24"/>
        </w:rPr>
        <w:t>additional</w:t>
      </w:r>
      <w:r w:rsidR="00F663F3">
        <w:rPr>
          <w:rFonts w:cs="Arial"/>
          <w:szCs w:val="24"/>
        </w:rPr>
        <w:t xml:space="preserve"> </w:t>
      </w:r>
      <w:r w:rsidRPr="002C2697">
        <w:rPr>
          <w:rFonts w:cs="Arial"/>
          <w:szCs w:val="24"/>
        </w:rPr>
        <w:t xml:space="preserve">illegal </w:t>
      </w:r>
      <w:r>
        <w:rPr>
          <w:rFonts w:cs="Arial"/>
          <w:szCs w:val="24"/>
        </w:rPr>
        <w:t>workers</w:t>
      </w:r>
      <w:r w:rsidRPr="002C2697">
        <w:rPr>
          <w:rFonts w:cs="Arial"/>
          <w:szCs w:val="24"/>
        </w:rPr>
        <w:t xml:space="preserve"> </w:t>
      </w:r>
      <w:r>
        <w:rPr>
          <w:rFonts w:cs="Arial"/>
          <w:szCs w:val="24"/>
        </w:rPr>
        <w:t xml:space="preserve">were found </w:t>
      </w:r>
      <w:r w:rsidR="00F663F3">
        <w:rPr>
          <w:rFonts w:cs="Arial"/>
          <w:szCs w:val="24"/>
        </w:rPr>
        <w:t xml:space="preserve">to be working </w:t>
      </w:r>
      <w:r>
        <w:rPr>
          <w:rFonts w:cs="Arial"/>
          <w:szCs w:val="24"/>
        </w:rPr>
        <w:t>on site</w:t>
      </w:r>
      <w:r w:rsidR="008625BF">
        <w:rPr>
          <w:rFonts w:cs="Arial"/>
          <w:szCs w:val="24"/>
        </w:rPr>
        <w:t>, one of which had been identified at an earlier enforcement visit.</w:t>
      </w:r>
      <w:r w:rsidR="00EE1231">
        <w:rPr>
          <w:rFonts w:cs="Arial"/>
          <w:szCs w:val="24"/>
        </w:rPr>
        <w:t xml:space="preserve">  </w:t>
      </w:r>
    </w:p>
    <w:p w:rsidR="002C2697" w:rsidRDefault="00EE1231" w:rsidP="00D227F5">
      <w:pPr>
        <w:pStyle w:val="BodyTextIndent"/>
        <w:spacing w:after="0"/>
        <w:ind w:left="1080"/>
        <w:rPr>
          <w:rFonts w:cs="Arial"/>
          <w:szCs w:val="24"/>
        </w:rPr>
      </w:pPr>
      <w:r>
        <w:rPr>
          <w:rFonts w:cs="Arial"/>
          <w:szCs w:val="24"/>
        </w:rPr>
        <w:t>Officers supplied statements in respect of this visit</w:t>
      </w:r>
      <w:r w:rsidR="008625BF">
        <w:rPr>
          <w:rFonts w:cs="Arial"/>
          <w:szCs w:val="24"/>
        </w:rPr>
        <w:t>; these are</w:t>
      </w:r>
      <w:r>
        <w:rPr>
          <w:rFonts w:cs="Arial"/>
          <w:szCs w:val="24"/>
        </w:rPr>
        <w:t xml:space="preserve"> attached as </w:t>
      </w:r>
      <w:r w:rsidRPr="008A5958">
        <w:rPr>
          <w:rFonts w:cs="Arial"/>
          <w:b/>
          <w:szCs w:val="24"/>
        </w:rPr>
        <w:t>Appendix 1a</w:t>
      </w:r>
      <w:r>
        <w:rPr>
          <w:rFonts w:cs="Arial"/>
          <w:szCs w:val="24"/>
        </w:rPr>
        <w:t xml:space="preserve"> and </w:t>
      </w:r>
      <w:r w:rsidRPr="008A5958">
        <w:rPr>
          <w:rFonts w:cs="Arial"/>
          <w:b/>
          <w:szCs w:val="24"/>
        </w:rPr>
        <w:t>Appendix 1b</w:t>
      </w:r>
      <w:r>
        <w:rPr>
          <w:rFonts w:cs="Arial"/>
          <w:szCs w:val="24"/>
        </w:rPr>
        <w:t xml:space="preserve"> </w:t>
      </w:r>
      <w:r w:rsidR="002C2697">
        <w:rPr>
          <w:rFonts w:cs="Arial"/>
          <w:szCs w:val="24"/>
        </w:rPr>
        <w:t xml:space="preserve"> </w:t>
      </w:r>
      <w:r w:rsidR="002C2697" w:rsidRPr="002C2697">
        <w:rPr>
          <w:rFonts w:cs="Arial"/>
          <w:szCs w:val="24"/>
        </w:rPr>
        <w:t xml:space="preserve">  </w:t>
      </w:r>
    </w:p>
    <w:p w:rsidR="00A55D41" w:rsidRDefault="00A55D41" w:rsidP="00A55D41">
      <w:pPr>
        <w:pStyle w:val="BodyTextIndent"/>
        <w:spacing w:after="0"/>
        <w:ind w:left="1080"/>
        <w:rPr>
          <w:rFonts w:cs="Arial"/>
          <w:szCs w:val="24"/>
        </w:rPr>
      </w:pPr>
    </w:p>
    <w:p w:rsidR="00F37471" w:rsidRDefault="00DC3DCC" w:rsidP="00A55D41">
      <w:pPr>
        <w:pStyle w:val="BodyTextIndent"/>
        <w:numPr>
          <w:ilvl w:val="0"/>
          <w:numId w:val="39"/>
        </w:numPr>
        <w:spacing w:after="0"/>
        <w:rPr>
          <w:rFonts w:cs="Arial"/>
          <w:szCs w:val="24"/>
        </w:rPr>
      </w:pPr>
      <w:r w:rsidRPr="00A55D41">
        <w:rPr>
          <w:rFonts w:cs="Arial"/>
          <w:b/>
          <w:szCs w:val="24"/>
        </w:rPr>
        <w:t>19/12/2019</w:t>
      </w:r>
      <w:r w:rsidRPr="00A55D41">
        <w:rPr>
          <w:rFonts w:cs="Arial"/>
          <w:szCs w:val="24"/>
        </w:rPr>
        <w:t xml:space="preserve"> - A follow up visit to site was undertaken on 19 December 2019 to </w:t>
      </w:r>
      <w:r w:rsidR="00D4343B">
        <w:rPr>
          <w:rFonts w:cs="Arial"/>
          <w:szCs w:val="24"/>
        </w:rPr>
        <w:t xml:space="preserve">check compliance with 5/12/2019 </w:t>
      </w:r>
      <w:r w:rsidRPr="00A55D41">
        <w:rPr>
          <w:rFonts w:cs="Arial"/>
          <w:szCs w:val="24"/>
        </w:rPr>
        <w:t>action</w:t>
      </w:r>
      <w:r w:rsidR="00D4343B">
        <w:rPr>
          <w:rFonts w:cs="Arial"/>
          <w:szCs w:val="24"/>
        </w:rPr>
        <w:t>s</w:t>
      </w:r>
      <w:r w:rsidRPr="00A55D41">
        <w:rPr>
          <w:rFonts w:cs="Arial"/>
          <w:szCs w:val="24"/>
        </w:rPr>
        <w:t xml:space="preserve">. Charlene Ellis Licensing Officer and David Norton Environmental Health Officer were in attendance.  </w:t>
      </w:r>
    </w:p>
    <w:p w:rsidR="00F37471" w:rsidRDefault="00F37471" w:rsidP="008A5958">
      <w:pPr>
        <w:pStyle w:val="ListParagraph"/>
      </w:pPr>
    </w:p>
    <w:p w:rsidR="00F37471" w:rsidRDefault="0054349B" w:rsidP="008A5958">
      <w:pPr>
        <w:pStyle w:val="BodyTextIndent"/>
        <w:spacing w:after="0"/>
        <w:ind w:left="1080"/>
        <w:rPr>
          <w:rFonts w:cs="Arial"/>
          <w:szCs w:val="24"/>
        </w:rPr>
      </w:pPr>
      <w:r w:rsidRPr="00A55D41">
        <w:rPr>
          <w:rFonts w:cs="Arial"/>
          <w:szCs w:val="24"/>
        </w:rPr>
        <w:t>A duplicate Premises Licence and Summary had been applied for and was found on site</w:t>
      </w:r>
      <w:r w:rsidR="00F663F3">
        <w:rPr>
          <w:rFonts w:cs="Arial"/>
          <w:szCs w:val="24"/>
        </w:rPr>
        <w:t>,</w:t>
      </w:r>
      <w:r w:rsidRPr="00A55D41">
        <w:rPr>
          <w:rFonts w:cs="Arial"/>
          <w:szCs w:val="24"/>
        </w:rPr>
        <w:t xml:space="preserve"> although this was not displayed </w:t>
      </w:r>
      <w:r w:rsidR="00D227F5">
        <w:rPr>
          <w:rFonts w:cs="Arial"/>
          <w:szCs w:val="24"/>
        </w:rPr>
        <w:t>prominently</w:t>
      </w:r>
      <w:r w:rsidRPr="00A55D41">
        <w:rPr>
          <w:rFonts w:cs="Arial"/>
          <w:szCs w:val="24"/>
        </w:rPr>
        <w:t xml:space="preserve"> as required</w:t>
      </w:r>
      <w:r w:rsidR="007D1392" w:rsidRPr="00A55D41">
        <w:rPr>
          <w:rFonts w:cs="Arial"/>
          <w:szCs w:val="24"/>
        </w:rPr>
        <w:t xml:space="preserve">.  </w:t>
      </w:r>
    </w:p>
    <w:p w:rsidR="00F663F3" w:rsidRDefault="00F663F3" w:rsidP="008A5958">
      <w:pPr>
        <w:pStyle w:val="BodyTextIndent"/>
        <w:spacing w:after="0"/>
        <w:ind w:left="1080"/>
        <w:rPr>
          <w:rFonts w:cs="Arial"/>
          <w:szCs w:val="24"/>
        </w:rPr>
      </w:pPr>
    </w:p>
    <w:p w:rsidR="00F663F3" w:rsidRDefault="007D1392" w:rsidP="008A5958">
      <w:pPr>
        <w:pStyle w:val="BodyTextIndent"/>
        <w:spacing w:after="0"/>
        <w:ind w:left="1080"/>
        <w:rPr>
          <w:rFonts w:cs="Arial"/>
          <w:szCs w:val="24"/>
        </w:rPr>
      </w:pPr>
      <w:r w:rsidRPr="00A55D41">
        <w:rPr>
          <w:rFonts w:cs="Arial"/>
          <w:szCs w:val="24"/>
        </w:rPr>
        <w:t>As a result of no further</w:t>
      </w:r>
      <w:r w:rsidR="00F663F3">
        <w:rPr>
          <w:rFonts w:cs="Arial"/>
          <w:szCs w:val="24"/>
        </w:rPr>
        <w:t xml:space="preserve"> positive</w:t>
      </w:r>
      <w:r w:rsidRPr="00A55D41">
        <w:rPr>
          <w:rFonts w:cs="Arial"/>
          <w:szCs w:val="24"/>
        </w:rPr>
        <w:t xml:space="preserve"> action being taken by the premises </w:t>
      </w:r>
      <w:r w:rsidR="00F663F3">
        <w:rPr>
          <w:rFonts w:cs="Arial"/>
          <w:szCs w:val="24"/>
        </w:rPr>
        <w:t xml:space="preserve">to rectify non-compliance issues </w:t>
      </w:r>
      <w:r w:rsidRPr="00A55D41">
        <w:rPr>
          <w:rFonts w:cs="Arial"/>
          <w:szCs w:val="24"/>
        </w:rPr>
        <w:t>a</w:t>
      </w:r>
      <w:r w:rsidR="0054349B" w:rsidRPr="00A55D41">
        <w:rPr>
          <w:rFonts w:cs="Arial"/>
          <w:szCs w:val="24"/>
        </w:rPr>
        <w:t xml:space="preserve"> </w:t>
      </w:r>
      <w:r w:rsidR="00DC3DCC" w:rsidRPr="00A55D41">
        <w:rPr>
          <w:rFonts w:cs="Arial"/>
          <w:szCs w:val="24"/>
        </w:rPr>
        <w:t>S</w:t>
      </w:r>
      <w:r w:rsidRPr="00A55D41">
        <w:rPr>
          <w:rFonts w:cs="Arial"/>
          <w:szCs w:val="24"/>
        </w:rPr>
        <w:t xml:space="preserve">ection </w:t>
      </w:r>
      <w:r w:rsidR="00DC3DCC" w:rsidRPr="00A55D41">
        <w:rPr>
          <w:rFonts w:cs="Arial"/>
          <w:szCs w:val="24"/>
        </w:rPr>
        <w:t xml:space="preserve">19 Closure Notice </w:t>
      </w:r>
      <w:r w:rsidRPr="00A55D41">
        <w:rPr>
          <w:rFonts w:cs="Arial"/>
          <w:szCs w:val="24"/>
        </w:rPr>
        <w:t xml:space="preserve">was </w:t>
      </w:r>
      <w:r w:rsidR="00DC3DCC" w:rsidRPr="00A55D41">
        <w:rPr>
          <w:rFonts w:cs="Arial"/>
          <w:szCs w:val="24"/>
        </w:rPr>
        <w:t>served on the licence holder Ms Li Hui Tian and Mr Long Tian</w:t>
      </w:r>
      <w:r w:rsidRPr="00A55D41">
        <w:rPr>
          <w:rFonts w:cs="Arial"/>
          <w:szCs w:val="24"/>
        </w:rPr>
        <w:t xml:space="preserve">.  </w:t>
      </w:r>
    </w:p>
    <w:p w:rsidR="00DC61A8" w:rsidRDefault="00DC61A8" w:rsidP="00DC61A8">
      <w:pPr>
        <w:pStyle w:val="Default"/>
      </w:pPr>
    </w:p>
    <w:p w:rsidR="00F663F3" w:rsidRPr="00876EE9" w:rsidRDefault="002A76A1" w:rsidP="00D227F5">
      <w:pPr>
        <w:pStyle w:val="Default"/>
        <w:ind w:left="1080"/>
        <w:rPr>
          <w:i/>
        </w:rPr>
      </w:pPr>
      <w:r w:rsidRPr="00876EE9">
        <w:rPr>
          <w:i/>
          <w:sz w:val="22"/>
          <w:szCs w:val="22"/>
        </w:rPr>
        <w:t>A Section 19</w:t>
      </w:r>
      <w:r w:rsidR="00DC61A8" w:rsidRPr="00876EE9">
        <w:rPr>
          <w:i/>
          <w:sz w:val="22"/>
          <w:szCs w:val="22"/>
        </w:rPr>
        <w:t xml:space="preserve"> notice informs a person with control of, or responsibility for, the activities carried on at the premises (normally the licence holder or the designated premises supervisor) that if unauthorised alcohol sales continue, an application may be made to a court under section 20 for an order to close the premises under section 21 of the Act. Such an application cannot be made less than seven days or more than six months after the service of the closure notice under section 19 of the Criminal Justice and Police Act 2001 </w:t>
      </w:r>
    </w:p>
    <w:p w:rsidR="00DC61A8" w:rsidRDefault="00DC61A8" w:rsidP="00DC61A8">
      <w:pPr>
        <w:pStyle w:val="BodyTextIndent"/>
        <w:spacing w:after="0"/>
        <w:ind w:left="1080"/>
        <w:rPr>
          <w:rFonts w:cs="Arial"/>
          <w:szCs w:val="24"/>
        </w:rPr>
      </w:pPr>
    </w:p>
    <w:p w:rsidR="00A55D41" w:rsidRDefault="007623D9" w:rsidP="008A5958">
      <w:pPr>
        <w:pStyle w:val="BodyTextIndent"/>
        <w:spacing w:after="0"/>
        <w:ind w:left="1080"/>
        <w:rPr>
          <w:rFonts w:cs="Arial"/>
          <w:szCs w:val="24"/>
        </w:rPr>
      </w:pPr>
      <w:r>
        <w:rPr>
          <w:rFonts w:cs="Arial"/>
          <w:szCs w:val="24"/>
        </w:rPr>
        <w:t xml:space="preserve">The </w:t>
      </w:r>
      <w:r w:rsidR="007D1392" w:rsidRPr="00A55D41">
        <w:rPr>
          <w:rFonts w:cs="Arial"/>
          <w:szCs w:val="24"/>
        </w:rPr>
        <w:t>re</w:t>
      </w:r>
      <w:r w:rsidR="004F6585" w:rsidRPr="00A55D41">
        <w:rPr>
          <w:rFonts w:cs="Arial"/>
          <w:szCs w:val="24"/>
        </w:rPr>
        <w:t>asons for the notice were given</w:t>
      </w:r>
      <w:r>
        <w:rPr>
          <w:rFonts w:cs="Arial"/>
          <w:szCs w:val="24"/>
        </w:rPr>
        <w:t xml:space="preserve"> verbally and written instruction supplied</w:t>
      </w:r>
      <w:r w:rsidR="004F6585" w:rsidRPr="00A55D41">
        <w:rPr>
          <w:rFonts w:cs="Arial"/>
          <w:szCs w:val="24"/>
        </w:rPr>
        <w:t xml:space="preserve">.  </w:t>
      </w:r>
      <w:proofErr w:type="gramStart"/>
      <w:r w:rsidR="004F6585" w:rsidRPr="00A55D41">
        <w:rPr>
          <w:rFonts w:cs="Arial"/>
          <w:szCs w:val="24"/>
        </w:rPr>
        <w:t xml:space="preserve">A copy of the </w:t>
      </w:r>
      <w:r>
        <w:rPr>
          <w:rFonts w:cs="Arial"/>
          <w:szCs w:val="24"/>
        </w:rPr>
        <w:t xml:space="preserve">completed </w:t>
      </w:r>
      <w:r w:rsidR="004F6585" w:rsidRPr="00A55D41">
        <w:rPr>
          <w:rFonts w:cs="Arial"/>
          <w:szCs w:val="24"/>
        </w:rPr>
        <w:t xml:space="preserve">S19 </w:t>
      </w:r>
      <w:r w:rsidR="00A55D41" w:rsidRPr="00A55D41">
        <w:rPr>
          <w:rFonts w:cs="Arial"/>
          <w:szCs w:val="24"/>
        </w:rPr>
        <w:t>Closure</w:t>
      </w:r>
      <w:r w:rsidR="004F6585" w:rsidRPr="00A55D41">
        <w:rPr>
          <w:rFonts w:cs="Arial"/>
          <w:szCs w:val="24"/>
        </w:rPr>
        <w:t xml:space="preserve"> Notice if attached as </w:t>
      </w:r>
      <w:r w:rsidR="00A55D41" w:rsidRPr="00A55D41">
        <w:rPr>
          <w:rFonts w:cs="Arial"/>
          <w:b/>
          <w:szCs w:val="24"/>
        </w:rPr>
        <w:t>Appendix 7</w:t>
      </w:r>
      <w:r w:rsidR="004F6585" w:rsidRPr="00A55D41">
        <w:rPr>
          <w:rFonts w:cs="Arial"/>
          <w:szCs w:val="24"/>
        </w:rPr>
        <w:t>.</w:t>
      </w:r>
      <w:proofErr w:type="gramEnd"/>
      <w:r w:rsidR="004F6585" w:rsidRPr="00A55D41">
        <w:rPr>
          <w:rFonts w:cs="Arial"/>
          <w:szCs w:val="24"/>
        </w:rPr>
        <w:t xml:space="preserve">  </w:t>
      </w:r>
    </w:p>
    <w:p w:rsidR="00A55D41" w:rsidRDefault="00A55D41" w:rsidP="00A55D41">
      <w:pPr>
        <w:pStyle w:val="BodyTextIndent"/>
        <w:spacing w:after="0"/>
        <w:ind w:left="0"/>
        <w:rPr>
          <w:rFonts w:cs="Arial"/>
          <w:szCs w:val="24"/>
        </w:rPr>
      </w:pPr>
    </w:p>
    <w:p w:rsidR="00A55D41" w:rsidRPr="00A55D41" w:rsidRDefault="004F6585" w:rsidP="00A55D41">
      <w:pPr>
        <w:pStyle w:val="BodyTextIndent"/>
        <w:spacing w:after="0"/>
        <w:ind w:left="1080"/>
        <w:rPr>
          <w:rFonts w:cs="Arial"/>
          <w:szCs w:val="24"/>
        </w:rPr>
      </w:pPr>
      <w:r w:rsidRPr="00A55D41">
        <w:rPr>
          <w:rFonts w:cs="Arial"/>
          <w:szCs w:val="24"/>
        </w:rPr>
        <w:t xml:space="preserve">Officers left the premises with assurances from Mr Long Tian that outstanding matters would be resolved by 23/12/19 and </w:t>
      </w:r>
      <w:r w:rsidR="00F37471">
        <w:rPr>
          <w:rFonts w:cs="Arial"/>
          <w:szCs w:val="24"/>
        </w:rPr>
        <w:t xml:space="preserve">that </w:t>
      </w:r>
      <w:r w:rsidRPr="00A55D41">
        <w:rPr>
          <w:rFonts w:cs="Arial"/>
          <w:szCs w:val="24"/>
        </w:rPr>
        <w:t xml:space="preserve">email confirmation would be provided from the premises.   </w:t>
      </w:r>
    </w:p>
    <w:p w:rsidR="00A55D41" w:rsidRDefault="00A55D41" w:rsidP="00A55D41">
      <w:pPr>
        <w:pStyle w:val="BodyTextIndent"/>
        <w:spacing w:after="0"/>
        <w:ind w:left="1080"/>
      </w:pPr>
    </w:p>
    <w:p w:rsidR="004F6585" w:rsidRPr="00A55D41" w:rsidRDefault="00B02881" w:rsidP="00A55D41">
      <w:pPr>
        <w:pStyle w:val="BodyTextIndent"/>
        <w:spacing w:after="0"/>
        <w:ind w:left="720"/>
      </w:pPr>
      <w:r w:rsidRPr="00A55D41">
        <w:t xml:space="preserve">Unfortunately despite </w:t>
      </w:r>
      <w:r w:rsidR="004F6585" w:rsidRPr="00A55D41">
        <w:t xml:space="preserve">the </w:t>
      </w:r>
      <w:r w:rsidR="00120647">
        <w:t xml:space="preserve">several </w:t>
      </w:r>
      <w:r w:rsidR="00120647" w:rsidRPr="00A55D41">
        <w:t>attempts</w:t>
      </w:r>
      <w:r w:rsidRPr="00A55D41">
        <w:t xml:space="preserve"> to work collectively with the licence holder and site staff, </w:t>
      </w:r>
      <w:r w:rsidR="00F37471">
        <w:t xml:space="preserve">little to </w:t>
      </w:r>
      <w:r w:rsidRPr="00A55D41">
        <w:t xml:space="preserve">none of the required remedial work has been untaken. </w:t>
      </w:r>
      <w:r w:rsidR="004F6585" w:rsidRPr="00A55D41">
        <w:t xml:space="preserve">Revised practices, procedures and photographic proofs relating to the </w:t>
      </w:r>
      <w:r w:rsidR="00D81F78" w:rsidRPr="00A55D41">
        <w:t>essential</w:t>
      </w:r>
      <w:r w:rsidR="004F6585" w:rsidRPr="00A55D41">
        <w:t xml:space="preserve"> works are still outstanding at time of </w:t>
      </w:r>
      <w:r w:rsidR="00D81F78" w:rsidRPr="00A55D41">
        <w:t xml:space="preserve">writing this </w:t>
      </w:r>
      <w:r w:rsidR="004F6585" w:rsidRPr="00A55D41">
        <w:t>report</w:t>
      </w:r>
      <w:r w:rsidR="00D81F78" w:rsidRPr="00A55D41">
        <w:t xml:space="preserve"> </w:t>
      </w:r>
      <w:r w:rsidR="00A55D41">
        <w:t>(</w:t>
      </w:r>
      <w:r w:rsidR="00D81F78" w:rsidRPr="00A55D41">
        <w:t>6 January 2020</w:t>
      </w:r>
      <w:r w:rsidR="00A55D41">
        <w:t>)</w:t>
      </w:r>
      <w:r w:rsidR="00D81F78" w:rsidRPr="00A55D41">
        <w:t>.</w:t>
      </w:r>
    </w:p>
    <w:p w:rsidR="00CB373D" w:rsidRPr="0038786F" w:rsidRDefault="00CB373D" w:rsidP="00033F05">
      <w:pPr>
        <w:pStyle w:val="BodyTextIndent"/>
        <w:ind w:left="0"/>
        <w:rPr>
          <w:u w:val="single"/>
        </w:rPr>
      </w:pPr>
    </w:p>
    <w:p w:rsidR="00255F97" w:rsidRDefault="00CB373D" w:rsidP="008625BF">
      <w:pPr>
        <w:pStyle w:val="Default"/>
        <w:numPr>
          <w:ilvl w:val="0"/>
          <w:numId w:val="24"/>
        </w:numPr>
        <w:rPr>
          <w:u w:val="single"/>
        </w:rPr>
      </w:pPr>
      <w:r w:rsidRPr="002F633F">
        <w:rPr>
          <w:u w:val="single"/>
        </w:rPr>
        <w:lastRenderedPageBreak/>
        <w:t xml:space="preserve">Statutory </w:t>
      </w:r>
      <w:r w:rsidR="00533966">
        <w:rPr>
          <w:u w:val="single"/>
        </w:rPr>
        <w:t xml:space="preserve">182 </w:t>
      </w:r>
      <w:r w:rsidRPr="002F633F">
        <w:rPr>
          <w:u w:val="single"/>
        </w:rPr>
        <w:t>guidance</w:t>
      </w:r>
    </w:p>
    <w:p w:rsidR="00C73EC0" w:rsidRDefault="00CB373D" w:rsidP="00120647">
      <w:pPr>
        <w:pStyle w:val="Default"/>
        <w:ind w:left="360"/>
      </w:pPr>
      <w:r w:rsidRPr="002F633F">
        <w:rPr>
          <w:u w:val="single"/>
        </w:rPr>
        <w:br/>
      </w:r>
      <w:r w:rsidR="00C73EC0">
        <w:t>The</w:t>
      </w:r>
      <w:r w:rsidR="00BB7A89">
        <w:t xml:space="preserve"> statutory </w:t>
      </w:r>
      <w:r w:rsidR="00255F97">
        <w:t xml:space="preserve">182 licensing </w:t>
      </w:r>
      <w:r w:rsidR="00BB7A89">
        <w:t xml:space="preserve">guidance </w:t>
      </w:r>
      <w:r w:rsidR="00C73EC0">
        <w:t xml:space="preserve">advises the following in respect  </w:t>
      </w:r>
    </w:p>
    <w:p w:rsidR="00C73EC0" w:rsidRDefault="00C73EC0" w:rsidP="00120647">
      <w:pPr>
        <w:pStyle w:val="Default"/>
        <w:ind w:firstLine="360"/>
        <w:rPr>
          <w:sz w:val="23"/>
          <w:szCs w:val="23"/>
        </w:rPr>
      </w:pPr>
      <w:proofErr w:type="gramStart"/>
      <w:r>
        <w:rPr>
          <w:sz w:val="23"/>
          <w:szCs w:val="23"/>
        </w:rPr>
        <w:t>criminal</w:t>
      </w:r>
      <w:proofErr w:type="gramEnd"/>
      <w:r>
        <w:rPr>
          <w:sz w:val="23"/>
          <w:szCs w:val="23"/>
        </w:rPr>
        <w:t xml:space="preserve"> activity that may arise in connection with licensed premises </w:t>
      </w:r>
    </w:p>
    <w:p w:rsidR="00C73EC0" w:rsidRDefault="00C73EC0" w:rsidP="00C73EC0">
      <w:pPr>
        <w:pStyle w:val="Default"/>
      </w:pPr>
    </w:p>
    <w:p w:rsidR="00C73EC0" w:rsidRDefault="00C73EC0" w:rsidP="008A5958">
      <w:pPr>
        <w:pStyle w:val="Default"/>
        <w:ind w:left="720"/>
        <w:rPr>
          <w:sz w:val="23"/>
          <w:szCs w:val="23"/>
        </w:rPr>
      </w:pPr>
      <w:r>
        <w:rPr>
          <w:sz w:val="23"/>
          <w:szCs w:val="23"/>
        </w:rPr>
        <w:t xml:space="preserve">S11.27 “There is certain criminal activity that may arise in connection with licensed premises which should be treated particularly seriously. These are the use of the licensed premises: </w:t>
      </w:r>
    </w:p>
    <w:p w:rsidR="00C73EC0" w:rsidRDefault="00C73EC0" w:rsidP="00C73EC0">
      <w:pPr>
        <w:pStyle w:val="Default"/>
      </w:pPr>
    </w:p>
    <w:p w:rsidR="008A5958" w:rsidRDefault="00C73EC0" w:rsidP="008A5958">
      <w:pPr>
        <w:pStyle w:val="Default"/>
        <w:ind w:left="720"/>
        <w:rPr>
          <w:sz w:val="23"/>
          <w:szCs w:val="23"/>
        </w:rPr>
      </w:pPr>
      <w:r>
        <w:rPr>
          <w:sz w:val="23"/>
          <w:szCs w:val="23"/>
        </w:rPr>
        <w:t>It is envisaged that licensing authorities, the police, the Home Office (Immigration Enforcement) and other law enforcement agencies, which are responsible authorities, will use the review procedures effectively to deter such activities and crime. Where reviews arise and the licensing authority determines that the crime prevention objective is being undermined through the premises being used to further crimes, it is expected that revocation of the licence – even in the first instance – should be seriously considered.</w:t>
      </w:r>
    </w:p>
    <w:p w:rsidR="008A5958" w:rsidRDefault="008A5958" w:rsidP="008A5958">
      <w:pPr>
        <w:pStyle w:val="Default"/>
        <w:ind w:left="720"/>
        <w:rPr>
          <w:sz w:val="23"/>
          <w:szCs w:val="23"/>
        </w:rPr>
      </w:pPr>
    </w:p>
    <w:p w:rsidR="00DB236C" w:rsidRPr="008A5958" w:rsidRDefault="008A5958" w:rsidP="008A5958">
      <w:pPr>
        <w:pStyle w:val="Default"/>
        <w:rPr>
          <w:sz w:val="23"/>
          <w:szCs w:val="23"/>
        </w:rPr>
      </w:pPr>
      <w:r>
        <w:t>The full section of this and o</w:t>
      </w:r>
      <w:r w:rsidR="00F37471">
        <w:t xml:space="preserve">ther </w:t>
      </w:r>
      <w:r>
        <w:t>relevant</w:t>
      </w:r>
      <w:r w:rsidR="00F37471">
        <w:t xml:space="preserve"> guidance </w:t>
      </w:r>
      <w:r w:rsidR="00BB7A89">
        <w:t>has been attached to this report</w:t>
      </w:r>
      <w:r w:rsidR="00CA4255">
        <w:t>.</w:t>
      </w:r>
      <w:r w:rsidR="00D64996">
        <w:t xml:space="preserve"> See </w:t>
      </w:r>
      <w:r w:rsidR="00F37471" w:rsidRPr="008A5958">
        <w:rPr>
          <w:b/>
        </w:rPr>
        <w:t>A</w:t>
      </w:r>
      <w:r w:rsidR="00D64996" w:rsidRPr="008A5958">
        <w:rPr>
          <w:b/>
        </w:rPr>
        <w:t xml:space="preserve">ppendix </w:t>
      </w:r>
      <w:r w:rsidR="00F37471" w:rsidRPr="008A5958">
        <w:rPr>
          <w:b/>
        </w:rPr>
        <w:t>8</w:t>
      </w:r>
      <w:r w:rsidR="00D64996">
        <w:t xml:space="preserve">. </w:t>
      </w:r>
    </w:p>
    <w:p w:rsidR="00CB373D" w:rsidRDefault="00CB373D" w:rsidP="00033F05">
      <w:pPr>
        <w:pStyle w:val="ListParagraph"/>
        <w:rPr>
          <w:color w:val="000000"/>
          <w:u w:val="single"/>
        </w:rPr>
      </w:pPr>
    </w:p>
    <w:p w:rsidR="00F663F3" w:rsidRDefault="00CB373D" w:rsidP="008625BF">
      <w:pPr>
        <w:pStyle w:val="BodyTextIndent"/>
        <w:numPr>
          <w:ilvl w:val="0"/>
          <w:numId w:val="29"/>
        </w:numPr>
        <w:spacing w:after="0"/>
        <w:rPr>
          <w:rFonts w:cs="Arial"/>
          <w:color w:val="000000"/>
        </w:rPr>
      </w:pPr>
      <w:r w:rsidRPr="00D61CF2">
        <w:rPr>
          <w:color w:val="000000"/>
          <w:u w:val="single"/>
        </w:rPr>
        <w:t xml:space="preserve">Licensing policy </w:t>
      </w:r>
      <w:r>
        <w:br/>
      </w:r>
      <w:r w:rsidR="00F663F3" w:rsidRPr="00A90948">
        <w:rPr>
          <w:iCs/>
        </w:rPr>
        <w:t>Each application for a review will be considered on its own merits and the Panel may depart from the guidelines should they have good reason to do so</w:t>
      </w:r>
      <w:r w:rsidR="00F663F3">
        <w:rPr>
          <w:rFonts w:cs="Arial"/>
          <w:color w:val="000000"/>
        </w:rPr>
        <w:t xml:space="preserve">; any departure </w:t>
      </w:r>
      <w:r w:rsidR="00F663F3">
        <w:t>should be made with consistency and transparency of decision-making in mind</w:t>
      </w:r>
    </w:p>
    <w:p w:rsidR="008625BF" w:rsidRDefault="008625BF" w:rsidP="008625BF">
      <w:pPr>
        <w:pStyle w:val="BodyTextIndent"/>
        <w:spacing w:after="0"/>
        <w:ind w:left="0"/>
        <w:rPr>
          <w:color w:val="000000"/>
          <w:u w:val="single"/>
        </w:rPr>
      </w:pPr>
    </w:p>
    <w:p w:rsidR="00CB373D" w:rsidRPr="00F663F3" w:rsidRDefault="00F663F3" w:rsidP="008625BF">
      <w:pPr>
        <w:pStyle w:val="BodyTextIndent"/>
        <w:spacing w:after="0"/>
        <w:ind w:left="360"/>
        <w:rPr>
          <w:rFonts w:cs="Arial"/>
          <w:color w:val="000000"/>
        </w:rPr>
      </w:pPr>
      <w:r>
        <w:rPr>
          <w:color w:val="000000"/>
          <w:u w:val="single"/>
        </w:rPr>
        <w:t xml:space="preserve">The </w:t>
      </w:r>
      <w:r w:rsidR="0093337B">
        <w:rPr>
          <w:color w:val="000000"/>
          <w:u w:val="single"/>
        </w:rPr>
        <w:t xml:space="preserve">full </w:t>
      </w:r>
      <w:r w:rsidR="0093337B">
        <w:t>statement</w:t>
      </w:r>
      <w:r w:rsidR="00CB373D">
        <w:t xml:space="preserve"> of licensing policy</w:t>
      </w:r>
      <w:r w:rsidR="008625BF">
        <w:t xml:space="preserve"> </w:t>
      </w:r>
      <w:r>
        <w:t>is</w:t>
      </w:r>
      <w:r w:rsidR="00CB373D">
        <w:t xml:space="preserve"> attached to this report at </w:t>
      </w:r>
      <w:r w:rsidR="00A55D41" w:rsidRPr="00D227F5">
        <w:rPr>
          <w:b/>
        </w:rPr>
        <w:t>A</w:t>
      </w:r>
      <w:r w:rsidR="00CB373D" w:rsidRPr="00D227F5">
        <w:rPr>
          <w:b/>
        </w:rPr>
        <w:t xml:space="preserve">ppendix </w:t>
      </w:r>
      <w:r w:rsidRPr="00D227F5">
        <w:rPr>
          <w:b/>
        </w:rPr>
        <w:t>9</w:t>
      </w:r>
      <w:r w:rsidR="00CB373D">
        <w:t xml:space="preserve">. </w:t>
      </w:r>
    </w:p>
    <w:p w:rsidR="00CB373D" w:rsidRDefault="00CB373D" w:rsidP="00033F05">
      <w:pPr>
        <w:pStyle w:val="ListParagraph"/>
        <w:rPr>
          <w:color w:val="000000"/>
          <w:u w:val="single"/>
        </w:rPr>
      </w:pPr>
    </w:p>
    <w:p w:rsidR="00255F97" w:rsidRPr="00876EE9" w:rsidRDefault="00CB373D" w:rsidP="00876EE9">
      <w:pPr>
        <w:pStyle w:val="BodyTextIndent"/>
        <w:numPr>
          <w:ilvl w:val="0"/>
          <w:numId w:val="29"/>
        </w:numPr>
        <w:spacing w:after="0"/>
        <w:rPr>
          <w:color w:val="000000"/>
        </w:rPr>
      </w:pPr>
      <w:r w:rsidRPr="00D61CF2">
        <w:rPr>
          <w:color w:val="000000"/>
          <w:u w:val="single"/>
        </w:rPr>
        <w:t>Legal implications</w:t>
      </w:r>
      <w:r w:rsidRPr="00D61CF2">
        <w:rPr>
          <w:color w:val="000000"/>
          <w:u w:val="single"/>
        </w:rPr>
        <w:br/>
      </w:r>
    </w:p>
    <w:p w:rsidR="00CB373D" w:rsidRPr="00533966" w:rsidRDefault="008625BF" w:rsidP="00255F97">
      <w:pPr>
        <w:pStyle w:val="BodyTextIndent"/>
        <w:spacing w:after="0"/>
        <w:ind w:left="360"/>
        <w:rPr>
          <w:rFonts w:cs="Arial"/>
          <w:color w:val="000000"/>
        </w:rPr>
      </w:pPr>
      <w:r>
        <w:rPr>
          <w:color w:val="000000"/>
        </w:rPr>
        <w:t>9</w:t>
      </w:r>
      <w:r w:rsidR="00255F97">
        <w:rPr>
          <w:color w:val="000000"/>
        </w:rPr>
        <w:t xml:space="preserve">.1 </w:t>
      </w:r>
      <w:r w:rsidR="00CB373D" w:rsidRPr="00AE65A4">
        <w:rPr>
          <w:color w:val="000000"/>
        </w:rPr>
        <w:t xml:space="preserve">The </w:t>
      </w:r>
      <w:r w:rsidR="00CB373D" w:rsidRPr="006E76A2">
        <w:t xml:space="preserve">Licensing </w:t>
      </w:r>
      <w:r w:rsidR="00CB373D">
        <w:t>Authority</w:t>
      </w:r>
      <w:r w:rsidR="00CB373D" w:rsidRPr="006E76A2">
        <w:t xml:space="preserve"> is required to </w:t>
      </w:r>
      <w:r w:rsidR="00CB373D">
        <w:t xml:space="preserve">hold a hearing to consider the review application and </w:t>
      </w:r>
      <w:r w:rsidR="00CB373D" w:rsidRPr="006E76A2">
        <w:t xml:space="preserve">any relevant representations </w:t>
      </w:r>
      <w:r w:rsidR="00CB373D">
        <w:t>made</w:t>
      </w:r>
      <w:r w:rsidR="00CB373D" w:rsidRPr="006E76A2">
        <w:t xml:space="preserve">. </w:t>
      </w:r>
      <w:r w:rsidR="00CB373D">
        <w:t xml:space="preserve"> </w:t>
      </w:r>
      <w:r w:rsidR="00CB373D" w:rsidRPr="006E76A2">
        <w:t xml:space="preserve">The hearing must be held in accordance with the Licensing Act 2003 (Hearings) Regulations 2005. </w:t>
      </w:r>
    </w:p>
    <w:p w:rsidR="00533966" w:rsidRDefault="00533966" w:rsidP="00533966">
      <w:pPr>
        <w:autoSpaceDE w:val="0"/>
        <w:autoSpaceDN w:val="0"/>
        <w:adjustRightInd w:val="0"/>
        <w:rPr>
          <w:rFonts w:ascii="ArialMT" w:hAnsi="ArialMT" w:cs="ArialMT"/>
          <w:lang w:eastAsia="en-GB"/>
        </w:rPr>
      </w:pPr>
    </w:p>
    <w:p w:rsidR="00533966" w:rsidRPr="00533966" w:rsidRDefault="008625BF" w:rsidP="00533966">
      <w:pPr>
        <w:autoSpaceDE w:val="0"/>
        <w:autoSpaceDN w:val="0"/>
        <w:adjustRightInd w:val="0"/>
        <w:ind w:left="360"/>
        <w:rPr>
          <w:rFonts w:ascii="ArialMT" w:hAnsi="ArialMT" w:cs="ArialMT"/>
          <w:lang w:eastAsia="en-GB"/>
        </w:rPr>
      </w:pPr>
      <w:r>
        <w:rPr>
          <w:rFonts w:ascii="ArialMT" w:hAnsi="ArialMT" w:cs="ArialMT"/>
          <w:lang w:eastAsia="en-GB"/>
        </w:rPr>
        <w:t>9</w:t>
      </w:r>
      <w:r w:rsidR="00255F97">
        <w:rPr>
          <w:rFonts w:ascii="ArialMT" w:hAnsi="ArialMT" w:cs="ArialMT"/>
          <w:lang w:eastAsia="en-GB"/>
        </w:rPr>
        <w:t xml:space="preserve">.2 </w:t>
      </w:r>
      <w:r w:rsidR="00533966" w:rsidRPr="00533966">
        <w:rPr>
          <w:rFonts w:ascii="ArialMT" w:hAnsi="ArialMT" w:cs="ArialMT"/>
          <w:lang w:eastAsia="en-GB"/>
        </w:rPr>
        <w:t xml:space="preserve">An application for review of a premises licence may be made pursuant to </w:t>
      </w:r>
      <w:r w:rsidR="00533966">
        <w:rPr>
          <w:rFonts w:ascii="ArialMT" w:hAnsi="ArialMT" w:cs="ArialMT"/>
          <w:lang w:eastAsia="en-GB"/>
        </w:rPr>
        <w:t>S</w:t>
      </w:r>
      <w:r w:rsidR="00533966" w:rsidRPr="00533966">
        <w:rPr>
          <w:rFonts w:ascii="ArialMT" w:hAnsi="ArialMT" w:cs="ArialMT"/>
          <w:lang w:eastAsia="en-GB"/>
        </w:rPr>
        <w:t>.51 of the Licensing Act 2003.</w:t>
      </w:r>
    </w:p>
    <w:p w:rsidR="00CB373D" w:rsidRDefault="00CB373D" w:rsidP="00033F05">
      <w:pPr>
        <w:pStyle w:val="ListParagraph"/>
      </w:pPr>
    </w:p>
    <w:p w:rsidR="00533966" w:rsidRPr="00533966" w:rsidRDefault="0093337B" w:rsidP="00533966">
      <w:pPr>
        <w:pStyle w:val="BodyTextIndent"/>
        <w:spacing w:after="0"/>
        <w:ind w:left="360"/>
        <w:rPr>
          <w:rFonts w:cs="Arial"/>
          <w:color w:val="000000"/>
        </w:rPr>
      </w:pPr>
      <w:r>
        <w:t>9</w:t>
      </w:r>
      <w:r w:rsidR="00255F97">
        <w:t xml:space="preserve">.3 </w:t>
      </w:r>
      <w:r w:rsidR="00CB373D" w:rsidRPr="006E76A2">
        <w:t>The Licensing Panel is required to give appropriate weight to the</w:t>
      </w:r>
      <w:r w:rsidR="00CB373D">
        <w:t xml:space="preserve"> review application,</w:t>
      </w:r>
      <w:r w:rsidR="00CB373D" w:rsidRPr="006E76A2">
        <w:t xml:space="preserve"> representations (including supporting information) presented by all the parties, the Guidance issued pursuant to section 182 of the Licensing Act 2003, the Council’s statement of licensing policy and the steps </w:t>
      </w:r>
      <w:r w:rsidR="00CB373D">
        <w:t xml:space="preserve">(if any) </w:t>
      </w:r>
      <w:r w:rsidR="00CB373D" w:rsidRPr="006E76A2">
        <w:t xml:space="preserve">that are </w:t>
      </w:r>
      <w:r w:rsidR="00CB373D">
        <w:t>appropriate</w:t>
      </w:r>
      <w:r w:rsidR="00CB373D" w:rsidRPr="006E76A2">
        <w:t xml:space="preserve"> to promote the four licensing objectives.</w:t>
      </w:r>
    </w:p>
    <w:p w:rsidR="00533966" w:rsidRDefault="00533966" w:rsidP="00533966">
      <w:pPr>
        <w:pStyle w:val="ListParagraph"/>
      </w:pPr>
    </w:p>
    <w:p w:rsidR="00533966" w:rsidRDefault="00CB373D" w:rsidP="00533966">
      <w:pPr>
        <w:autoSpaceDE w:val="0"/>
        <w:autoSpaceDN w:val="0"/>
        <w:adjustRightInd w:val="0"/>
        <w:rPr>
          <w:rFonts w:ascii="ArialMT" w:hAnsi="ArialMT" w:cs="ArialMT"/>
          <w:szCs w:val="24"/>
          <w:lang w:eastAsia="en-GB"/>
        </w:rPr>
      </w:pPr>
      <w:r w:rsidRPr="006E76A2">
        <w:t xml:space="preserve"> </w:t>
      </w:r>
      <w:r w:rsidR="00533966">
        <w:rPr>
          <w:rFonts w:ascii="ArialMT" w:hAnsi="ArialMT" w:cs="ArialMT"/>
          <w:szCs w:val="24"/>
          <w:lang w:eastAsia="en-GB"/>
        </w:rPr>
        <w:t>The licensing objectives are:</w:t>
      </w:r>
    </w:p>
    <w:p w:rsidR="00533966" w:rsidRDefault="00533966" w:rsidP="00533966">
      <w:pPr>
        <w:autoSpaceDE w:val="0"/>
        <w:autoSpaceDN w:val="0"/>
        <w:adjustRightInd w:val="0"/>
        <w:rPr>
          <w:rFonts w:ascii="ArialMT" w:hAnsi="ArialMT" w:cs="ArialMT"/>
          <w:szCs w:val="24"/>
          <w:lang w:eastAsia="en-GB"/>
        </w:rPr>
      </w:pPr>
    </w:p>
    <w:p w:rsidR="00533966" w:rsidRPr="00533966" w:rsidRDefault="00533966" w:rsidP="00533966">
      <w:pPr>
        <w:pStyle w:val="ListParagraph"/>
        <w:numPr>
          <w:ilvl w:val="0"/>
          <w:numId w:val="25"/>
        </w:numPr>
        <w:autoSpaceDE w:val="0"/>
        <w:autoSpaceDN w:val="0"/>
        <w:adjustRightInd w:val="0"/>
        <w:rPr>
          <w:rFonts w:ascii="ArialMT" w:hAnsi="ArialMT" w:cs="ArialMT"/>
          <w:lang w:eastAsia="en-GB"/>
        </w:rPr>
      </w:pPr>
      <w:r w:rsidRPr="00533966">
        <w:rPr>
          <w:rFonts w:ascii="ArialMT" w:hAnsi="ArialMT" w:cs="ArialMT"/>
          <w:lang w:eastAsia="en-GB"/>
        </w:rPr>
        <w:t>Prevention of crime and disorder</w:t>
      </w:r>
    </w:p>
    <w:p w:rsidR="00533966" w:rsidRPr="00533966" w:rsidRDefault="00533966" w:rsidP="00533966">
      <w:pPr>
        <w:pStyle w:val="ListParagraph"/>
        <w:numPr>
          <w:ilvl w:val="0"/>
          <w:numId w:val="25"/>
        </w:numPr>
        <w:autoSpaceDE w:val="0"/>
        <w:autoSpaceDN w:val="0"/>
        <w:adjustRightInd w:val="0"/>
        <w:rPr>
          <w:rFonts w:ascii="ArialMT" w:hAnsi="ArialMT" w:cs="ArialMT"/>
          <w:lang w:eastAsia="en-GB"/>
        </w:rPr>
      </w:pPr>
      <w:r w:rsidRPr="00533966">
        <w:rPr>
          <w:rFonts w:ascii="ArialMT" w:hAnsi="ArialMT" w:cs="ArialMT"/>
          <w:lang w:eastAsia="en-GB"/>
        </w:rPr>
        <w:t>Public safety</w:t>
      </w:r>
    </w:p>
    <w:p w:rsidR="00533966" w:rsidRPr="00533966" w:rsidRDefault="00533966" w:rsidP="00533966">
      <w:pPr>
        <w:pStyle w:val="ListParagraph"/>
        <w:numPr>
          <w:ilvl w:val="0"/>
          <w:numId w:val="25"/>
        </w:numPr>
        <w:autoSpaceDE w:val="0"/>
        <w:autoSpaceDN w:val="0"/>
        <w:adjustRightInd w:val="0"/>
        <w:rPr>
          <w:rFonts w:ascii="ArialMT" w:hAnsi="ArialMT" w:cs="ArialMT"/>
          <w:lang w:eastAsia="en-GB"/>
        </w:rPr>
      </w:pPr>
      <w:r w:rsidRPr="00533966">
        <w:rPr>
          <w:rFonts w:ascii="ArialMT" w:hAnsi="ArialMT" w:cs="ArialMT"/>
          <w:lang w:eastAsia="en-GB"/>
        </w:rPr>
        <w:t>Prevention of public nuisance</w:t>
      </w:r>
    </w:p>
    <w:p w:rsidR="00533966" w:rsidRPr="00533966" w:rsidRDefault="00533966" w:rsidP="00533966">
      <w:pPr>
        <w:pStyle w:val="ListParagraph"/>
        <w:numPr>
          <w:ilvl w:val="0"/>
          <w:numId w:val="25"/>
        </w:numPr>
        <w:autoSpaceDE w:val="0"/>
        <w:autoSpaceDN w:val="0"/>
        <w:adjustRightInd w:val="0"/>
        <w:rPr>
          <w:rFonts w:ascii="ArialMT" w:hAnsi="ArialMT" w:cs="ArialMT"/>
          <w:lang w:eastAsia="en-GB"/>
        </w:rPr>
      </w:pPr>
      <w:r w:rsidRPr="00533966">
        <w:rPr>
          <w:rFonts w:ascii="ArialMT" w:hAnsi="ArialMT" w:cs="ArialMT"/>
          <w:lang w:eastAsia="en-GB"/>
        </w:rPr>
        <w:t>Protection of children from harm</w:t>
      </w:r>
    </w:p>
    <w:p w:rsidR="00533966" w:rsidRDefault="00533966" w:rsidP="00533966">
      <w:pPr>
        <w:pStyle w:val="BodyTextIndent"/>
        <w:spacing w:after="0"/>
        <w:ind w:left="0"/>
        <w:rPr>
          <w:rFonts w:cs="Arial"/>
          <w:color w:val="000000"/>
        </w:rPr>
      </w:pPr>
    </w:p>
    <w:p w:rsidR="00CB373D" w:rsidRPr="00533966" w:rsidRDefault="00533966" w:rsidP="00F878FE">
      <w:pPr>
        <w:pStyle w:val="BodyTextIndent"/>
        <w:spacing w:after="0"/>
        <w:ind w:left="0" w:firstLine="720"/>
        <w:rPr>
          <w:rFonts w:cs="Arial"/>
          <w:color w:val="000000"/>
        </w:rPr>
      </w:pPr>
      <w:r w:rsidRPr="00533966">
        <w:rPr>
          <w:rFonts w:ascii="ArialMT" w:hAnsi="ArialMT" w:cs="ArialMT"/>
          <w:szCs w:val="24"/>
          <w:lang w:eastAsia="en-GB"/>
        </w:rPr>
        <w:lastRenderedPageBreak/>
        <w:t>Members should note that each objective is of equal importance</w:t>
      </w:r>
      <w:r w:rsidR="00A55D41">
        <w:rPr>
          <w:rFonts w:ascii="ArialMT" w:hAnsi="ArialMT" w:cs="ArialMT"/>
          <w:szCs w:val="24"/>
          <w:lang w:eastAsia="en-GB"/>
        </w:rPr>
        <w:t>.</w:t>
      </w:r>
    </w:p>
    <w:p w:rsidR="00CB373D" w:rsidRPr="00F855BA" w:rsidRDefault="00CB373D" w:rsidP="00033F05">
      <w:pPr>
        <w:pStyle w:val="BodyTextIndent"/>
        <w:ind w:left="0"/>
        <w:rPr>
          <w:rFonts w:cs="Arial"/>
          <w:color w:val="000000"/>
        </w:rPr>
      </w:pPr>
    </w:p>
    <w:p w:rsidR="00CB373D" w:rsidRDefault="0093337B" w:rsidP="00BF3954">
      <w:pPr>
        <w:pStyle w:val="BodyTextIndent"/>
        <w:spacing w:after="0"/>
        <w:ind w:left="0"/>
      </w:pPr>
      <w:r>
        <w:t>9</w:t>
      </w:r>
      <w:r w:rsidR="00255F97">
        <w:t xml:space="preserve">.4 </w:t>
      </w:r>
      <w:r w:rsidR="00CB373D">
        <w:t>H</w:t>
      </w:r>
      <w:r w:rsidR="00CB373D" w:rsidRPr="006E76A2">
        <w:t xml:space="preserve">aving considered those relevant matters, the Licensing </w:t>
      </w:r>
      <w:proofErr w:type="gramStart"/>
      <w:r w:rsidR="00CB373D" w:rsidRPr="006E76A2">
        <w:t>Panel</w:t>
      </w:r>
      <w:r w:rsidR="00CB373D">
        <w:t xml:space="preserve"> </w:t>
      </w:r>
      <w:r w:rsidR="00CB373D" w:rsidRPr="006E76A2">
        <w:t xml:space="preserve"> </w:t>
      </w:r>
      <w:r w:rsidR="00CB373D">
        <w:t>can</w:t>
      </w:r>
      <w:proofErr w:type="gramEnd"/>
      <w:r w:rsidR="00CB373D">
        <w:t xml:space="preserve"> take such </w:t>
      </w:r>
      <w:r w:rsidR="00CB373D" w:rsidRPr="006E76A2">
        <w:t xml:space="preserve">of </w:t>
      </w:r>
      <w:r w:rsidR="00CB373D">
        <w:t xml:space="preserve">the </w:t>
      </w:r>
      <w:r w:rsidR="00CB373D" w:rsidRPr="006E76A2">
        <w:t xml:space="preserve">following steps </w:t>
      </w:r>
      <w:r w:rsidR="00CB373D">
        <w:t xml:space="preserve">(if any) </w:t>
      </w:r>
      <w:r w:rsidR="00CB373D" w:rsidRPr="006E76A2">
        <w:t xml:space="preserve">as it considers </w:t>
      </w:r>
      <w:r w:rsidR="00CB373D">
        <w:t>appropriate</w:t>
      </w:r>
      <w:r w:rsidR="00CB373D" w:rsidRPr="006E76A2">
        <w:t xml:space="preserve"> for the promotion of the licensing objectives –</w:t>
      </w:r>
    </w:p>
    <w:p w:rsidR="00533966" w:rsidRPr="00D61CF2" w:rsidRDefault="00533966" w:rsidP="00BF3954">
      <w:pPr>
        <w:pStyle w:val="BodyTextIndent"/>
        <w:spacing w:after="0"/>
        <w:ind w:left="0"/>
        <w:rPr>
          <w:rFonts w:cs="Arial"/>
          <w:color w:val="000000"/>
        </w:rPr>
      </w:pPr>
    </w:p>
    <w:p w:rsidR="0093337B" w:rsidRDefault="00303952" w:rsidP="00BF3954">
      <w:r w:rsidRPr="00303952">
        <w:t>Under Paragraph 11.19 of the Revised Guidance under Section 182 of the Licensing Act</w:t>
      </w:r>
      <w:r>
        <w:t xml:space="preserve"> </w:t>
      </w:r>
      <w:r w:rsidRPr="00303952">
        <w:t>2003, the options available to the Licensing Sub-Committee in a Review Application are</w:t>
      </w:r>
      <w:r>
        <w:t xml:space="preserve"> the following:</w:t>
      </w:r>
    </w:p>
    <w:p w:rsidR="00876EE9" w:rsidRDefault="00876EE9" w:rsidP="00BF3954"/>
    <w:p w:rsidR="00533966" w:rsidRDefault="00303952" w:rsidP="00BF3954">
      <w:pPr>
        <w:pStyle w:val="ListParagraph"/>
        <w:numPr>
          <w:ilvl w:val="0"/>
          <w:numId w:val="32"/>
        </w:numPr>
      </w:pPr>
      <w:r w:rsidRPr="00533966">
        <w:rPr>
          <w:b/>
        </w:rPr>
        <w:t>modify the conditions of the premises licence</w:t>
      </w:r>
      <w:r w:rsidRPr="00303952">
        <w:t xml:space="preserve"> (which includes adding new</w:t>
      </w:r>
      <w:r>
        <w:t xml:space="preserve"> </w:t>
      </w:r>
      <w:r w:rsidRPr="00303952">
        <w:t>conditions or any alteration or omission of an existing condition), for example, by</w:t>
      </w:r>
      <w:r>
        <w:t xml:space="preserve"> </w:t>
      </w:r>
      <w:r w:rsidRPr="00303952">
        <w:t>reducing the hours of opening or by requiring door supervisors at particular times;</w:t>
      </w:r>
    </w:p>
    <w:p w:rsidR="00303952" w:rsidRPr="00303952" w:rsidRDefault="00303952" w:rsidP="00BF3954">
      <w:pPr>
        <w:pStyle w:val="ListParagraph"/>
        <w:numPr>
          <w:ilvl w:val="0"/>
          <w:numId w:val="32"/>
        </w:numPr>
      </w:pPr>
      <w:r w:rsidRPr="00533966">
        <w:rPr>
          <w:b/>
        </w:rPr>
        <w:t>exclude a licensable activity from the scope of the licence</w:t>
      </w:r>
      <w:r w:rsidRPr="00303952">
        <w:t>, for example, to exclude</w:t>
      </w:r>
      <w:r>
        <w:t xml:space="preserve"> </w:t>
      </w:r>
      <w:r w:rsidRPr="00303952">
        <w:t>the performance of live music or playing of recorded music (where it is not within</w:t>
      </w:r>
      <w:r>
        <w:t xml:space="preserve"> </w:t>
      </w:r>
      <w:r w:rsidRPr="00303952">
        <w:t>the incidental live and recorded music exemption)10;</w:t>
      </w:r>
    </w:p>
    <w:p w:rsidR="00303952" w:rsidRPr="00303952" w:rsidRDefault="00303952" w:rsidP="00BF3954">
      <w:pPr>
        <w:pStyle w:val="ListParagraph"/>
        <w:numPr>
          <w:ilvl w:val="0"/>
          <w:numId w:val="32"/>
        </w:numPr>
      </w:pPr>
      <w:r w:rsidRPr="00533966">
        <w:rPr>
          <w:b/>
        </w:rPr>
        <w:t>remove the designated premises supervisor</w:t>
      </w:r>
      <w:r w:rsidRPr="00303952">
        <w:t>, for example, because they consider</w:t>
      </w:r>
      <w:r>
        <w:t xml:space="preserve"> </w:t>
      </w:r>
      <w:r w:rsidRPr="00303952">
        <w:t>that the problems are the result of poor management;</w:t>
      </w:r>
    </w:p>
    <w:p w:rsidR="00303952" w:rsidRPr="00303952" w:rsidRDefault="00303952" w:rsidP="00BF3954">
      <w:pPr>
        <w:pStyle w:val="ListParagraph"/>
        <w:numPr>
          <w:ilvl w:val="0"/>
          <w:numId w:val="32"/>
        </w:numPr>
      </w:pPr>
      <w:r w:rsidRPr="00BF3954">
        <w:rPr>
          <w:b/>
        </w:rPr>
        <w:t>suspend the licence for a period not exceeding three months</w:t>
      </w:r>
      <w:r w:rsidRPr="00303952">
        <w:t>;</w:t>
      </w:r>
      <w:r w:rsidR="00533966">
        <w:t xml:space="preserve"> and/or</w:t>
      </w:r>
    </w:p>
    <w:p w:rsidR="00CB373D" w:rsidRDefault="00303952" w:rsidP="00BF3954">
      <w:pPr>
        <w:pStyle w:val="ListParagraph"/>
        <w:numPr>
          <w:ilvl w:val="0"/>
          <w:numId w:val="32"/>
        </w:numPr>
      </w:pPr>
      <w:proofErr w:type="gramStart"/>
      <w:r w:rsidRPr="00BF3954">
        <w:rPr>
          <w:b/>
        </w:rPr>
        <w:t>revoke</w:t>
      </w:r>
      <w:proofErr w:type="gramEnd"/>
      <w:r w:rsidRPr="00BF3954">
        <w:rPr>
          <w:b/>
        </w:rPr>
        <w:t xml:space="preserve"> the licence</w:t>
      </w:r>
      <w:r w:rsidRPr="00303952">
        <w:t>.</w:t>
      </w:r>
    </w:p>
    <w:p w:rsidR="00303952" w:rsidRDefault="00303952" w:rsidP="00FD2D72">
      <w:pPr>
        <w:pStyle w:val="ListParagraph"/>
        <w:ind w:left="1440"/>
      </w:pPr>
    </w:p>
    <w:p w:rsidR="00CB373D" w:rsidRDefault="0093337B" w:rsidP="0093337B">
      <w:pPr>
        <w:spacing w:after="120"/>
        <w:ind w:right="667"/>
        <w:jc w:val="both"/>
      </w:pPr>
      <w:r>
        <w:t>9.5</w:t>
      </w:r>
      <w:r w:rsidR="00255F97">
        <w:t xml:space="preserve"> </w:t>
      </w:r>
      <w:r w:rsidR="00CB373D">
        <w:t xml:space="preserve">If the Panel takes a step mentioned in </w:t>
      </w:r>
      <w:r w:rsidR="006E2D8A">
        <w:t>a</w:t>
      </w:r>
      <w:r w:rsidR="00CB373D">
        <w:t xml:space="preserve"> or </w:t>
      </w:r>
      <w:r w:rsidR="006E2D8A">
        <w:t>b</w:t>
      </w:r>
      <w:r w:rsidR="00CB373D">
        <w:t xml:space="preserve"> of paragraph </w:t>
      </w:r>
      <w:r w:rsidR="006E2D8A">
        <w:t>17</w:t>
      </w:r>
      <w:bookmarkStart w:id="0" w:name="LastEdit"/>
      <w:bookmarkEnd w:id="0"/>
      <w:r w:rsidR="00CB373D">
        <w:t xml:space="preserve"> above, it can specify that the modification or exclusion is to have effect for a period up to three months if it considers this to be appropriate.  </w:t>
      </w:r>
    </w:p>
    <w:p w:rsidR="00CB373D" w:rsidRPr="008002C3" w:rsidRDefault="00CB373D" w:rsidP="00F878FE">
      <w:pPr>
        <w:spacing w:after="120"/>
        <w:ind w:right="667" w:firstLine="720"/>
        <w:jc w:val="both"/>
      </w:pPr>
      <w:r w:rsidRPr="006E76A2">
        <w:t>It should be noted that –</w:t>
      </w:r>
    </w:p>
    <w:p w:rsidR="004027F3" w:rsidRPr="006E76A2" w:rsidRDefault="00CB373D" w:rsidP="0093337B">
      <w:pPr>
        <w:pStyle w:val="ListParagraph"/>
        <w:numPr>
          <w:ilvl w:val="0"/>
          <w:numId w:val="17"/>
        </w:numPr>
        <w:ind w:right="142"/>
        <w:jc w:val="both"/>
      </w:pPr>
      <w:r>
        <w:t>c</w:t>
      </w:r>
      <w:r w:rsidRPr="006E76A2">
        <w:t xml:space="preserve">lear reasons </w:t>
      </w:r>
      <w:r>
        <w:t>must be given for the decision;</w:t>
      </w:r>
      <w:r w:rsidR="004027F3">
        <w:t xml:space="preserve"> and</w:t>
      </w:r>
    </w:p>
    <w:p w:rsidR="00CB373D" w:rsidRDefault="00CB373D" w:rsidP="00033F05">
      <w:pPr>
        <w:pStyle w:val="ListParagraph"/>
        <w:numPr>
          <w:ilvl w:val="0"/>
          <w:numId w:val="17"/>
        </w:numPr>
        <w:ind w:right="142"/>
        <w:jc w:val="both"/>
      </w:pPr>
      <w:proofErr w:type="gramStart"/>
      <w:r>
        <w:t>a</w:t>
      </w:r>
      <w:r w:rsidRPr="006E76A2">
        <w:t>ny</w:t>
      </w:r>
      <w:proofErr w:type="gramEnd"/>
      <w:r w:rsidRPr="006E76A2">
        <w:t xml:space="preserve"> additional or modified conditions should be </w:t>
      </w:r>
      <w:r>
        <w:t>practicable</w:t>
      </w:r>
      <w:r w:rsidRPr="006E76A2">
        <w:t xml:space="preserve"> and enforceable</w:t>
      </w:r>
      <w:r w:rsidR="004027F3">
        <w:t>.</w:t>
      </w:r>
    </w:p>
    <w:p w:rsidR="004027F3" w:rsidRPr="006E76A2" w:rsidRDefault="004027F3" w:rsidP="006E2D8A">
      <w:pPr>
        <w:pStyle w:val="ListParagraph"/>
        <w:ind w:left="1080" w:right="142"/>
        <w:jc w:val="both"/>
      </w:pPr>
    </w:p>
    <w:p w:rsidR="00CB373D" w:rsidRDefault="00CB373D" w:rsidP="0093337B">
      <w:pPr>
        <w:ind w:left="720" w:right="142"/>
        <w:jc w:val="both"/>
      </w:pPr>
      <w:r>
        <w:t>the applicant for the review, the premises licence holder</w:t>
      </w:r>
      <w:r w:rsidRPr="006E76A2">
        <w:t xml:space="preserve"> and any person who made relevant representations would have the right of appeal to a magistrates’ court on </w:t>
      </w:r>
      <w:r>
        <w:t>one of the grounds provided in s</w:t>
      </w:r>
      <w:r w:rsidRPr="006E76A2">
        <w:t>chedule 5 to the Licensing Act 2003</w:t>
      </w:r>
      <w:r>
        <w:t>.</w:t>
      </w:r>
    </w:p>
    <w:p w:rsidR="00CB373D" w:rsidRDefault="00CB373D" w:rsidP="00033F05">
      <w:pPr>
        <w:ind w:left="851" w:right="142"/>
        <w:jc w:val="both"/>
      </w:pPr>
    </w:p>
    <w:p w:rsidR="00CB373D" w:rsidRDefault="0093337B" w:rsidP="0093337B">
      <w:pPr>
        <w:ind w:right="142"/>
        <w:jc w:val="both"/>
      </w:pPr>
      <w:r>
        <w:t xml:space="preserve">9.6 </w:t>
      </w:r>
      <w:r w:rsidR="00CB373D">
        <w:t xml:space="preserve">In addition to determining the application in accordance with the </w:t>
      </w:r>
      <w:r>
        <w:t xml:space="preserve">  </w:t>
      </w:r>
      <w:r w:rsidR="00CB373D">
        <w:t>legislation, Members must have regard to the –</w:t>
      </w:r>
    </w:p>
    <w:p w:rsidR="00CB373D" w:rsidRDefault="00CB373D" w:rsidP="00033F05">
      <w:pPr>
        <w:ind w:left="561" w:right="667"/>
        <w:jc w:val="both"/>
      </w:pPr>
    </w:p>
    <w:p w:rsidR="004027F3" w:rsidRDefault="00CB373D" w:rsidP="00255F97">
      <w:pPr>
        <w:pStyle w:val="ListNumber"/>
        <w:numPr>
          <w:ilvl w:val="0"/>
          <w:numId w:val="18"/>
        </w:numPr>
        <w:spacing w:after="0"/>
      </w:pPr>
      <w:proofErr w:type="gramStart"/>
      <w:r>
        <w:rPr>
          <w:rFonts w:cs="Arial"/>
        </w:rPr>
        <w:t>common</w:t>
      </w:r>
      <w:proofErr w:type="gramEnd"/>
      <w:r>
        <w:rPr>
          <w:rFonts w:cs="Arial"/>
        </w:rPr>
        <w:t xml:space="preserve"> law rules of natural justice (i.e. ensuring a fair and unbiased hearing </w:t>
      </w:r>
      <w:r w:rsidR="00FB0377">
        <w:rPr>
          <w:rFonts w:cs="Arial"/>
        </w:rPr>
        <w:t>etc.</w:t>
      </w:r>
      <w:r>
        <w:rPr>
          <w:rFonts w:cs="Arial"/>
        </w:rPr>
        <w:t>);</w:t>
      </w:r>
    </w:p>
    <w:p w:rsidR="004027F3" w:rsidRDefault="00CB373D" w:rsidP="00255F97">
      <w:pPr>
        <w:pStyle w:val="ListNumber"/>
        <w:numPr>
          <w:ilvl w:val="0"/>
          <w:numId w:val="18"/>
        </w:numPr>
        <w:spacing w:after="0"/>
      </w:pPr>
      <w:r>
        <w:t>provisions of the Human Rights Act 1998;</w:t>
      </w:r>
    </w:p>
    <w:p w:rsidR="00CB373D" w:rsidRDefault="00FB0377" w:rsidP="00033F05">
      <w:pPr>
        <w:pStyle w:val="ListNumber"/>
        <w:numPr>
          <w:ilvl w:val="0"/>
          <w:numId w:val="18"/>
        </w:numPr>
        <w:spacing w:after="0"/>
      </w:pPr>
      <w:r>
        <w:t>Considerations</w:t>
      </w:r>
      <w:r w:rsidR="00CB373D">
        <w:t xml:space="preserve"> in section 17 of the Crime and Disorder Act 1998.</w:t>
      </w:r>
    </w:p>
    <w:p w:rsidR="00CB373D" w:rsidRDefault="00CB373D" w:rsidP="00033F05">
      <w:pPr>
        <w:pStyle w:val="ListNumber"/>
        <w:numPr>
          <w:ilvl w:val="0"/>
          <w:numId w:val="0"/>
        </w:numPr>
        <w:spacing w:after="0"/>
        <w:ind w:left="992"/>
      </w:pPr>
    </w:p>
    <w:p w:rsidR="00CB373D" w:rsidRDefault="0093337B" w:rsidP="00BF3954">
      <w:pPr>
        <w:pStyle w:val="ListNumber"/>
        <w:numPr>
          <w:ilvl w:val="0"/>
          <w:numId w:val="0"/>
        </w:numPr>
        <w:spacing w:after="0"/>
      </w:pPr>
      <w:r>
        <w:t>9.7</w:t>
      </w:r>
      <w:r w:rsidR="00255F97">
        <w:t xml:space="preserve"> </w:t>
      </w:r>
      <w:r w:rsidR="00CB373D">
        <w:t xml:space="preserve">The Panel must also act appropriately with regard to the European Convention for the Protection of Human Rights and Fundamental Freedoms implemented under the Human Rights Act 1998, particularly articles 6 (relating to the right to a fair trial); article 8 (protection of private and family life); and article 1 of the First Protocol (protection of property).    </w:t>
      </w:r>
    </w:p>
    <w:p w:rsidR="00CB373D" w:rsidRDefault="00CB373D" w:rsidP="00033F05">
      <w:pPr>
        <w:pStyle w:val="ListNumber"/>
        <w:numPr>
          <w:ilvl w:val="0"/>
          <w:numId w:val="0"/>
        </w:numPr>
        <w:spacing w:after="0"/>
        <w:ind w:left="-561"/>
      </w:pPr>
    </w:p>
    <w:p w:rsidR="00CB373D" w:rsidRDefault="00255F97" w:rsidP="00BF3954">
      <w:pPr>
        <w:pStyle w:val="ListNumber"/>
        <w:numPr>
          <w:ilvl w:val="0"/>
          <w:numId w:val="0"/>
        </w:numPr>
        <w:spacing w:after="0"/>
        <w:ind w:left="567" w:hanging="567"/>
      </w:pPr>
      <w:r>
        <w:lastRenderedPageBreak/>
        <w:t>The</w:t>
      </w:r>
      <w:r w:rsidR="00F878FE">
        <w:t xml:space="preserve"> </w:t>
      </w:r>
      <w:r w:rsidR="00CB373D">
        <w:t>Panel</w:t>
      </w:r>
      <w:r w:rsidR="004027F3">
        <w:t xml:space="preserve"> </w:t>
      </w:r>
      <w:r w:rsidR="00CB373D">
        <w:t xml:space="preserve">must </w:t>
      </w:r>
      <w:r>
        <w:t xml:space="preserve">also </w:t>
      </w:r>
      <w:r w:rsidR="00CB373D">
        <w:t>consider section 17 of the</w:t>
      </w:r>
      <w:r>
        <w:t xml:space="preserve"> </w:t>
      </w:r>
      <w:r w:rsidR="00CB373D">
        <w:t>Crime and Disorder Act 1998 which states:</w:t>
      </w:r>
    </w:p>
    <w:p w:rsidR="00CB373D" w:rsidRDefault="00CB373D" w:rsidP="00033F05">
      <w:pPr>
        <w:tabs>
          <w:tab w:val="left" w:pos="426"/>
        </w:tabs>
        <w:ind w:left="567" w:right="142"/>
        <w:jc w:val="both"/>
      </w:pPr>
    </w:p>
    <w:p w:rsidR="00CB373D" w:rsidRDefault="00CB373D" w:rsidP="006E2D8A">
      <w:pPr>
        <w:ind w:left="720" w:right="1238"/>
        <w:jc w:val="both"/>
      </w:pPr>
      <w:r>
        <w:t>‘without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w:t>
      </w:r>
    </w:p>
    <w:p w:rsidR="00CB373D" w:rsidRDefault="00CB373D" w:rsidP="00033F05">
      <w:pPr>
        <w:tabs>
          <w:tab w:val="left" w:pos="426"/>
        </w:tabs>
        <w:ind w:left="567" w:right="142"/>
        <w:jc w:val="both"/>
      </w:pPr>
    </w:p>
    <w:p w:rsidR="00CB373D" w:rsidRPr="006E76A2" w:rsidRDefault="00CB373D" w:rsidP="00BF3954">
      <w:pPr>
        <w:pStyle w:val="Heading2"/>
        <w:tabs>
          <w:tab w:val="left" w:pos="426"/>
        </w:tabs>
        <w:rPr>
          <w:i/>
        </w:rPr>
      </w:pPr>
      <w:r w:rsidRPr="006E76A2">
        <w:rPr>
          <w:i/>
        </w:rPr>
        <w:t>Financial Implications</w:t>
      </w:r>
    </w:p>
    <w:p w:rsidR="00CB373D" w:rsidRDefault="00CB373D" w:rsidP="00BF3954">
      <w:pPr>
        <w:ind w:right="142"/>
        <w:jc w:val="both"/>
      </w:pPr>
      <w:r w:rsidRPr="006E76A2">
        <w:t xml:space="preserve">There are no financial implications. </w:t>
      </w:r>
    </w:p>
    <w:p w:rsidR="00CB373D" w:rsidRDefault="00CB373D" w:rsidP="00033F05">
      <w:pPr>
        <w:pStyle w:val="Heading2"/>
        <w:tabs>
          <w:tab w:val="left" w:pos="426"/>
        </w:tabs>
        <w:rPr>
          <w:i/>
        </w:rPr>
      </w:pPr>
    </w:p>
    <w:p w:rsidR="00876EE9" w:rsidRDefault="00876EE9" w:rsidP="00BF3954">
      <w:pPr>
        <w:pStyle w:val="Heading2"/>
        <w:tabs>
          <w:tab w:val="left" w:pos="426"/>
        </w:tabs>
        <w:rPr>
          <w:i/>
        </w:rPr>
      </w:pPr>
    </w:p>
    <w:p w:rsidR="00876EE9" w:rsidRDefault="00876EE9" w:rsidP="00BF3954">
      <w:pPr>
        <w:pStyle w:val="Heading2"/>
        <w:tabs>
          <w:tab w:val="left" w:pos="426"/>
        </w:tabs>
        <w:rPr>
          <w:i/>
        </w:rPr>
      </w:pPr>
    </w:p>
    <w:p w:rsidR="00CB373D" w:rsidRPr="00ED48FF" w:rsidRDefault="00CB373D" w:rsidP="00BF3954">
      <w:pPr>
        <w:pStyle w:val="Heading2"/>
        <w:tabs>
          <w:tab w:val="left" w:pos="426"/>
        </w:tabs>
        <w:rPr>
          <w:i/>
        </w:rPr>
      </w:pPr>
      <w:r w:rsidRPr="00ED48FF">
        <w:rPr>
          <w:i/>
        </w:rPr>
        <w:t>Appeals</w:t>
      </w:r>
    </w:p>
    <w:p w:rsidR="00CB373D" w:rsidRPr="006E76A2" w:rsidRDefault="00CB373D" w:rsidP="00BF3954">
      <w:pPr>
        <w:tabs>
          <w:tab w:val="left" w:pos="426"/>
        </w:tabs>
        <w:ind w:right="142"/>
        <w:jc w:val="both"/>
      </w:pPr>
      <w:r w:rsidRPr="006E76A2">
        <w:t>If any party is aggrieved with the decision of the licensing panel on</w:t>
      </w:r>
      <w:r>
        <w:t xml:space="preserve"> one of the grounds set out in s</w:t>
      </w:r>
      <w:r w:rsidRPr="006E76A2">
        <w:t xml:space="preserve">chedule 5 to the Licensing </w:t>
      </w:r>
      <w:r>
        <w:t>Act 2003, they can appeal to a M</w:t>
      </w:r>
      <w:r w:rsidRPr="006E76A2">
        <w:t xml:space="preserve">agistrates’ </w:t>
      </w:r>
      <w:r>
        <w:t>Court within 2</w:t>
      </w:r>
      <w:r w:rsidRPr="006E76A2">
        <w:t xml:space="preserve">1 days from notification of the decision. </w:t>
      </w:r>
    </w:p>
    <w:p w:rsidR="006A233E" w:rsidRDefault="006A233E">
      <w:pPr>
        <w:rPr>
          <w:color w:val="0000FF"/>
        </w:rPr>
      </w:pPr>
    </w:p>
    <w:p w:rsidR="001271D4" w:rsidRDefault="001271D4">
      <w:pPr>
        <w:rPr>
          <w:rFonts w:ascii="Arial Black" w:hAnsi="Arial Black" w:cs="Arial"/>
          <w:bCs/>
          <w:sz w:val="32"/>
          <w:szCs w:val="32"/>
        </w:rPr>
      </w:pPr>
      <w:r>
        <w:br w:type="page"/>
      </w:r>
    </w:p>
    <w:p w:rsidR="006A233E" w:rsidRDefault="006A233E" w:rsidP="001075CF">
      <w:pPr>
        <w:pStyle w:val="Heading1"/>
        <w:keepNext/>
      </w:pPr>
      <w:r>
        <w:lastRenderedPageBreak/>
        <w:t>Section 3 - Statutory Officer Clearance</w:t>
      </w:r>
    </w:p>
    <w:p w:rsidR="006A233E" w:rsidRDefault="006A233E" w:rsidP="001075CF">
      <w:pPr>
        <w:keepNext/>
        <w:rPr>
          <w:rFonts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03"/>
        <w:gridCol w:w="222"/>
        <w:gridCol w:w="3197"/>
      </w:tblGrid>
      <w:tr w:rsidR="006A233E" w:rsidTr="001271D4">
        <w:tc>
          <w:tcPr>
            <w:tcW w:w="2792"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rsidP="00DE06F1">
            <w:pPr>
              <w:pStyle w:val="Infotext"/>
            </w:pPr>
            <w:r>
              <w:t>on behalf of the</w:t>
            </w:r>
          </w:p>
        </w:tc>
      </w:tr>
      <w:tr w:rsidR="006A233E" w:rsidTr="001271D4">
        <w:tc>
          <w:tcPr>
            <w:tcW w:w="2792" w:type="pct"/>
            <w:tcBorders>
              <w:top w:val="nil"/>
              <w:bottom w:val="nil"/>
            </w:tcBorders>
          </w:tcPr>
          <w:p w:rsidR="006A233E" w:rsidRDefault="006A233E" w:rsidP="00CC6BFF">
            <w:pPr>
              <w:pStyle w:val="Infotext"/>
            </w:pPr>
            <w:r>
              <w:t>Name:</w:t>
            </w:r>
            <w:r w:rsidR="001271D4">
              <w:t xml:space="preserve"> Jessie Man</w:t>
            </w:r>
          </w:p>
        </w:tc>
        <w:tc>
          <w:tcPr>
            <w:tcW w:w="138" w:type="pct"/>
            <w:tcBorders>
              <w:bottom w:val="single" w:sz="4" w:space="0" w:color="auto"/>
            </w:tcBorders>
          </w:tcPr>
          <w:p w:rsidR="006A233E" w:rsidRDefault="005E3DBD">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Chief Financial Officer</w:t>
            </w:r>
          </w:p>
        </w:tc>
      </w:tr>
      <w:tr w:rsidR="006A233E" w:rsidTr="001271D4">
        <w:tc>
          <w:tcPr>
            <w:tcW w:w="2792" w:type="pct"/>
            <w:tcBorders>
              <w:top w:val="nil"/>
              <w:right w:val="nil"/>
            </w:tcBorders>
          </w:tcPr>
          <w:p w:rsidR="006A233E" w:rsidRDefault="006A233E">
            <w:pPr>
              <w:pStyle w:val="Infotext"/>
            </w:pPr>
            <w:r>
              <w:t xml:space="preserve"> </w:t>
            </w:r>
          </w:p>
          <w:p w:rsidR="006A233E" w:rsidRDefault="006A233E" w:rsidP="00F878FE">
            <w:pPr>
              <w:pStyle w:val="Infotext"/>
            </w:pPr>
            <w:r>
              <w:t xml:space="preserve">Date: </w:t>
            </w:r>
            <w:r w:rsidR="005E3DBD">
              <w:t>07/01/2020</w:t>
            </w:r>
          </w:p>
        </w:tc>
        <w:tc>
          <w:tcPr>
            <w:tcW w:w="138" w:type="pct"/>
            <w:tcBorders>
              <w:left w:val="nil"/>
              <w:bottom w:val="single" w:sz="4" w:space="0" w:color="auto"/>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tc>
      </w:tr>
      <w:tr w:rsidR="006A233E" w:rsidTr="001271D4">
        <w:tc>
          <w:tcPr>
            <w:tcW w:w="2792"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rsidP="00DE06F1">
            <w:pPr>
              <w:pStyle w:val="Infotext"/>
            </w:pPr>
            <w:r>
              <w:t>on behalf of the</w:t>
            </w:r>
          </w:p>
        </w:tc>
      </w:tr>
      <w:tr w:rsidR="006A233E" w:rsidTr="001271D4">
        <w:tc>
          <w:tcPr>
            <w:tcW w:w="2792" w:type="pct"/>
            <w:tcBorders>
              <w:top w:val="nil"/>
              <w:bottom w:val="nil"/>
            </w:tcBorders>
          </w:tcPr>
          <w:p w:rsidR="006A233E" w:rsidRDefault="006A233E" w:rsidP="00CC6BFF">
            <w:pPr>
              <w:pStyle w:val="Infotext"/>
            </w:pPr>
            <w:r>
              <w:t xml:space="preserve">Name: </w:t>
            </w:r>
            <w:r w:rsidR="00EA1637">
              <w:t xml:space="preserve"> </w:t>
            </w:r>
            <w:r w:rsidR="001271D4">
              <w:t>Andrew Lucas</w:t>
            </w:r>
          </w:p>
        </w:tc>
        <w:tc>
          <w:tcPr>
            <w:tcW w:w="138" w:type="pct"/>
            <w:tcBorders>
              <w:bottom w:val="single" w:sz="4" w:space="0" w:color="auto"/>
            </w:tcBorders>
          </w:tcPr>
          <w:p w:rsidR="006A233E" w:rsidRDefault="005E3DBD">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Monitoring Officer</w:t>
            </w:r>
          </w:p>
        </w:tc>
      </w:tr>
      <w:tr w:rsidR="006A233E" w:rsidTr="001271D4">
        <w:tc>
          <w:tcPr>
            <w:tcW w:w="2792" w:type="pct"/>
            <w:tcBorders>
              <w:top w:val="nil"/>
              <w:right w:val="nil"/>
            </w:tcBorders>
          </w:tcPr>
          <w:p w:rsidR="006A233E" w:rsidRDefault="006A233E">
            <w:pPr>
              <w:pStyle w:val="Infotext"/>
            </w:pPr>
          </w:p>
          <w:p w:rsidR="006A233E" w:rsidRDefault="006A233E" w:rsidP="00F878FE">
            <w:pPr>
              <w:pStyle w:val="Infotext"/>
            </w:pPr>
            <w:r>
              <w:t xml:space="preserve">Date: </w:t>
            </w:r>
            <w:r w:rsidR="00EA1637">
              <w:t xml:space="preserve"> </w:t>
            </w:r>
            <w:r w:rsidR="005E3DBD">
              <w:t>08/01/2020</w:t>
            </w:r>
          </w:p>
        </w:tc>
        <w:tc>
          <w:tcPr>
            <w:tcW w:w="138" w:type="pct"/>
            <w:tcBorders>
              <w:left w:val="nil"/>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p w:rsidR="006A233E" w:rsidRDefault="006A233E">
            <w:pPr>
              <w:pStyle w:val="Infotext"/>
            </w:pPr>
          </w:p>
        </w:tc>
      </w:tr>
    </w:tbl>
    <w:p w:rsidR="006A233E" w:rsidRDefault="006A233E">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1"/>
        <w:gridCol w:w="403"/>
        <w:gridCol w:w="234"/>
        <w:gridCol w:w="3557"/>
      </w:tblGrid>
      <w:tr w:rsidR="00B43855" w:rsidTr="00255F97">
        <w:tc>
          <w:tcPr>
            <w:tcW w:w="4752" w:type="dxa"/>
            <w:tcBorders>
              <w:bottom w:val="nil"/>
              <w:right w:val="nil"/>
            </w:tcBorders>
          </w:tcPr>
          <w:p w:rsidR="00B43855" w:rsidRDefault="00B43855" w:rsidP="00255F97">
            <w:pPr>
              <w:pStyle w:val="Infotext"/>
            </w:pPr>
          </w:p>
          <w:p w:rsidR="00B43855" w:rsidRDefault="00B43855" w:rsidP="00255F97">
            <w:pPr>
              <w:pStyle w:val="Infotext"/>
            </w:pPr>
          </w:p>
        </w:tc>
        <w:tc>
          <w:tcPr>
            <w:tcW w:w="387" w:type="dxa"/>
            <w:tcBorders>
              <w:left w:val="nil"/>
              <w:right w:val="nil"/>
            </w:tcBorders>
          </w:tcPr>
          <w:p w:rsidR="00B43855" w:rsidRDefault="00B43855" w:rsidP="00255F97">
            <w:pPr>
              <w:pStyle w:val="Infotext"/>
            </w:pPr>
          </w:p>
        </w:tc>
        <w:tc>
          <w:tcPr>
            <w:tcW w:w="236" w:type="dxa"/>
            <w:tcBorders>
              <w:left w:val="nil"/>
              <w:bottom w:val="nil"/>
              <w:right w:val="nil"/>
            </w:tcBorders>
          </w:tcPr>
          <w:p w:rsidR="00B43855" w:rsidRDefault="00B43855" w:rsidP="00255F97">
            <w:pPr>
              <w:pStyle w:val="Infotext"/>
            </w:pPr>
          </w:p>
        </w:tc>
        <w:tc>
          <w:tcPr>
            <w:tcW w:w="3890" w:type="dxa"/>
            <w:tcBorders>
              <w:left w:val="nil"/>
              <w:bottom w:val="nil"/>
            </w:tcBorders>
          </w:tcPr>
          <w:p w:rsidR="00B43855" w:rsidRDefault="00B43855" w:rsidP="00255F97">
            <w:pPr>
              <w:pStyle w:val="Infotext"/>
            </w:pPr>
          </w:p>
          <w:p w:rsidR="00B43855" w:rsidRDefault="00B43855" w:rsidP="00255F97">
            <w:pPr>
              <w:pStyle w:val="Infotext"/>
            </w:pPr>
          </w:p>
        </w:tc>
      </w:tr>
      <w:tr w:rsidR="00B43855" w:rsidTr="00255F97">
        <w:tc>
          <w:tcPr>
            <w:tcW w:w="4752" w:type="dxa"/>
            <w:tcBorders>
              <w:top w:val="nil"/>
              <w:bottom w:val="nil"/>
            </w:tcBorders>
          </w:tcPr>
          <w:p w:rsidR="00B43855" w:rsidRDefault="00B43855" w:rsidP="00D4343B">
            <w:pPr>
              <w:pStyle w:val="Infotext"/>
            </w:pPr>
            <w:r>
              <w:t xml:space="preserve">Name: </w:t>
            </w:r>
            <w:r w:rsidR="00EA1637">
              <w:t xml:space="preserve"> </w:t>
            </w:r>
            <w:r w:rsidR="00D4343B">
              <w:t>Michael Butler</w:t>
            </w:r>
            <w:r w:rsidR="005E3DBD">
              <w:t xml:space="preserve"> </w:t>
            </w:r>
          </w:p>
        </w:tc>
        <w:tc>
          <w:tcPr>
            <w:tcW w:w="387" w:type="dxa"/>
            <w:tcBorders>
              <w:bottom w:val="single" w:sz="4" w:space="0" w:color="auto"/>
            </w:tcBorders>
          </w:tcPr>
          <w:p w:rsidR="00B43855" w:rsidRDefault="005E3DBD" w:rsidP="00255F97">
            <w:pPr>
              <w:pStyle w:val="Infotext"/>
            </w:pPr>
            <w:r>
              <w:t>X</w:t>
            </w:r>
          </w:p>
        </w:tc>
        <w:tc>
          <w:tcPr>
            <w:tcW w:w="236" w:type="dxa"/>
            <w:tcBorders>
              <w:top w:val="nil"/>
              <w:bottom w:val="nil"/>
              <w:right w:val="nil"/>
            </w:tcBorders>
          </w:tcPr>
          <w:p w:rsidR="00B43855" w:rsidRDefault="00B43855" w:rsidP="00255F97">
            <w:pPr>
              <w:pStyle w:val="Infotext"/>
            </w:pPr>
          </w:p>
        </w:tc>
        <w:tc>
          <w:tcPr>
            <w:tcW w:w="3890" w:type="dxa"/>
            <w:tcBorders>
              <w:top w:val="nil"/>
              <w:left w:val="nil"/>
              <w:bottom w:val="nil"/>
            </w:tcBorders>
          </w:tcPr>
          <w:p w:rsidR="00B43855" w:rsidRDefault="003C37F3" w:rsidP="00255F97">
            <w:pPr>
              <w:pStyle w:val="Infotext"/>
            </w:pPr>
            <w:r>
              <w:t xml:space="preserve">Divisional </w:t>
            </w:r>
            <w:r w:rsidR="00B43855">
              <w:t>Director</w:t>
            </w:r>
          </w:p>
        </w:tc>
      </w:tr>
      <w:tr w:rsidR="00B43855" w:rsidTr="00255F97">
        <w:tc>
          <w:tcPr>
            <w:tcW w:w="4752" w:type="dxa"/>
            <w:tcBorders>
              <w:top w:val="nil"/>
              <w:right w:val="nil"/>
            </w:tcBorders>
          </w:tcPr>
          <w:p w:rsidR="00B43855" w:rsidRDefault="00B43855" w:rsidP="00255F97">
            <w:pPr>
              <w:pStyle w:val="Infotext"/>
            </w:pPr>
            <w:r>
              <w:t xml:space="preserve"> </w:t>
            </w:r>
          </w:p>
          <w:p w:rsidR="00B43855" w:rsidRDefault="00B43855" w:rsidP="00F878FE">
            <w:pPr>
              <w:pStyle w:val="Infotext"/>
            </w:pPr>
            <w:r>
              <w:t xml:space="preserve">Date: </w:t>
            </w:r>
            <w:r w:rsidR="005E3DBD">
              <w:t>07/01/2020 (Paul Walker)</w:t>
            </w:r>
          </w:p>
        </w:tc>
        <w:tc>
          <w:tcPr>
            <w:tcW w:w="387" w:type="dxa"/>
            <w:tcBorders>
              <w:left w:val="nil"/>
              <w:bottom w:val="single" w:sz="4" w:space="0" w:color="auto"/>
              <w:right w:val="nil"/>
            </w:tcBorders>
          </w:tcPr>
          <w:p w:rsidR="00B43855" w:rsidRDefault="00B43855" w:rsidP="00255F97">
            <w:pPr>
              <w:pStyle w:val="Infotext"/>
            </w:pPr>
          </w:p>
        </w:tc>
        <w:tc>
          <w:tcPr>
            <w:tcW w:w="236" w:type="dxa"/>
            <w:tcBorders>
              <w:top w:val="nil"/>
              <w:left w:val="nil"/>
              <w:right w:val="nil"/>
            </w:tcBorders>
          </w:tcPr>
          <w:p w:rsidR="00B43855" w:rsidRDefault="00B43855" w:rsidP="00255F97">
            <w:pPr>
              <w:pStyle w:val="Infotext"/>
            </w:pPr>
          </w:p>
        </w:tc>
        <w:tc>
          <w:tcPr>
            <w:tcW w:w="3890" w:type="dxa"/>
            <w:tcBorders>
              <w:top w:val="nil"/>
              <w:left w:val="nil"/>
            </w:tcBorders>
          </w:tcPr>
          <w:p w:rsidR="00B43855" w:rsidRDefault="00B43855" w:rsidP="00255F97">
            <w:pPr>
              <w:pStyle w:val="Infotext"/>
            </w:pPr>
          </w:p>
        </w:tc>
      </w:tr>
    </w:tbl>
    <w:p w:rsidR="00B43855" w:rsidRDefault="00B43855"/>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652B2">
        <w:trPr>
          <w:trHeight w:val="965"/>
        </w:trPr>
        <w:tc>
          <w:tcPr>
            <w:tcW w:w="3025" w:type="pct"/>
            <w:tcBorders>
              <w:right w:val="nil"/>
            </w:tcBorders>
          </w:tcPr>
          <w:p w:rsidR="008652B2" w:rsidRDefault="008652B2" w:rsidP="00830B1F">
            <w:pPr>
              <w:pStyle w:val="Infotext"/>
              <w:rPr>
                <w:rFonts w:ascii="Arial Black" w:hAnsi="Arial Black"/>
              </w:rPr>
            </w:pPr>
          </w:p>
          <w:p w:rsidR="008652B2" w:rsidRDefault="008652B2" w:rsidP="00830B1F">
            <w:pPr>
              <w:pStyle w:val="Infotext"/>
              <w:rPr>
                <w:rFonts w:ascii="Arial Black" w:hAnsi="Arial Black"/>
              </w:rPr>
            </w:pPr>
            <w:r>
              <w:rPr>
                <w:rFonts w:ascii="Arial Black" w:hAnsi="Arial Black"/>
              </w:rPr>
              <w:t>Ward Councillors notified:</w:t>
            </w:r>
          </w:p>
          <w:p w:rsidR="008652B2" w:rsidRPr="00587AB5" w:rsidRDefault="008652B2" w:rsidP="00830B1F">
            <w:pPr>
              <w:pStyle w:val="Infotext"/>
              <w:rPr>
                <w:b/>
                <w:color w:val="FF0000"/>
              </w:rPr>
            </w:pPr>
          </w:p>
        </w:tc>
        <w:tc>
          <w:tcPr>
            <w:tcW w:w="1975" w:type="pct"/>
            <w:tcBorders>
              <w:left w:val="nil"/>
            </w:tcBorders>
          </w:tcPr>
          <w:p w:rsidR="008652B2" w:rsidRDefault="008652B2" w:rsidP="00830B1F">
            <w:pPr>
              <w:pStyle w:val="Infotext"/>
            </w:pPr>
          </w:p>
          <w:p w:rsidR="008652B2" w:rsidRPr="00A406F3" w:rsidRDefault="00D31413" w:rsidP="00830B1F">
            <w:pPr>
              <w:pStyle w:val="Infotext"/>
              <w:spacing w:before="120"/>
              <w:rPr>
                <w:b/>
              </w:rPr>
            </w:pPr>
            <w:r>
              <w:rPr>
                <w:b/>
              </w:rPr>
              <w:t>Yes</w:t>
            </w:r>
          </w:p>
          <w:p w:rsidR="008652B2" w:rsidRPr="003D78F6" w:rsidRDefault="008652B2" w:rsidP="00A47339">
            <w:pPr>
              <w:pStyle w:val="Infotext"/>
              <w:rPr>
                <w:i/>
                <w:sz w:val="24"/>
                <w:szCs w:val="24"/>
              </w:rPr>
            </w:pPr>
          </w:p>
        </w:tc>
      </w:tr>
    </w:tbl>
    <w:p w:rsidR="008652B2" w:rsidRDefault="008652B2"/>
    <w:p w:rsidR="006A233E" w:rsidRDefault="006A233E" w:rsidP="001075CF">
      <w:pPr>
        <w:pStyle w:val="Heading1"/>
        <w:keepNext/>
      </w:pPr>
      <w:r>
        <w:t>Section 4 - Contact Details and Background Papers</w:t>
      </w:r>
    </w:p>
    <w:p w:rsidR="006A233E" w:rsidRDefault="006A233E" w:rsidP="001075CF">
      <w:pPr>
        <w:keepNext/>
        <w:rPr>
          <w:rFonts w:cs="Arial"/>
        </w:rPr>
      </w:pPr>
    </w:p>
    <w:p w:rsidR="006A233E" w:rsidRDefault="006A233E" w:rsidP="001075CF">
      <w:pPr>
        <w:keepNext/>
      </w:pPr>
    </w:p>
    <w:p w:rsidR="00F878FE" w:rsidRDefault="006A233E" w:rsidP="00CB373D">
      <w:pPr>
        <w:jc w:val="both"/>
      </w:pPr>
      <w:r w:rsidRPr="007563D9">
        <w:rPr>
          <w:b/>
        </w:rPr>
        <w:t>Contact</w:t>
      </w:r>
      <w:r w:rsidR="00F878FE">
        <w:rPr>
          <w:b/>
        </w:rPr>
        <w:t>s</w:t>
      </w:r>
      <w:r w:rsidRPr="007563D9">
        <w:rPr>
          <w:b/>
        </w:rPr>
        <w:t>:</w:t>
      </w:r>
      <w:r>
        <w:t xml:space="preserve"> </w:t>
      </w:r>
    </w:p>
    <w:p w:rsidR="00F878FE" w:rsidRDefault="00F878FE" w:rsidP="00CB373D">
      <w:pPr>
        <w:jc w:val="both"/>
      </w:pPr>
    </w:p>
    <w:p w:rsidR="00F878FE" w:rsidRDefault="00F878FE" w:rsidP="00CB373D">
      <w:pPr>
        <w:jc w:val="both"/>
      </w:pPr>
      <w:r>
        <w:t>Case Officer: Charlene Ellis – Licensing Officer Ext: 6684</w:t>
      </w:r>
    </w:p>
    <w:p w:rsidR="00F878FE" w:rsidRDefault="00F878FE" w:rsidP="00CB373D">
      <w:pPr>
        <w:jc w:val="both"/>
      </w:pPr>
    </w:p>
    <w:p w:rsidR="00CB373D" w:rsidRPr="006E76A2" w:rsidRDefault="00F878FE" w:rsidP="00CB373D">
      <w:pPr>
        <w:jc w:val="both"/>
        <w:rPr>
          <w:iCs/>
        </w:rPr>
      </w:pPr>
      <w:r>
        <w:t xml:space="preserve">Head of Service: </w:t>
      </w:r>
      <w:r w:rsidR="00CB373D">
        <w:t>Richard Le-</w:t>
      </w:r>
      <w:proofErr w:type="spellStart"/>
      <w:r w:rsidR="00CB373D">
        <w:t>Brun</w:t>
      </w:r>
      <w:proofErr w:type="spellEnd"/>
      <w:r w:rsidR="00CB373D">
        <w:t>, Head of Community and Public Protection, Ext</w:t>
      </w:r>
      <w:r>
        <w:t>:</w:t>
      </w:r>
      <w:r w:rsidR="00CB373D">
        <w:t xml:space="preserve"> 6267</w:t>
      </w:r>
    </w:p>
    <w:p w:rsidR="006A233E" w:rsidRDefault="006A233E"/>
    <w:p w:rsidR="006A233E" w:rsidRDefault="006A233E" w:rsidP="00E56EC8">
      <w:pPr>
        <w:pStyle w:val="Infotext"/>
      </w:pPr>
      <w:r w:rsidRPr="007563D9">
        <w:rPr>
          <w:b/>
        </w:rPr>
        <w:t>Background Papers:</w:t>
      </w:r>
      <w:r>
        <w:t xml:space="preserve">  </w:t>
      </w:r>
    </w:p>
    <w:p w:rsidR="00CB373D" w:rsidRDefault="00CB373D" w:rsidP="00E56EC8">
      <w:pPr>
        <w:pStyle w:val="Infotext"/>
        <w:rPr>
          <w:sz w:val="24"/>
          <w:szCs w:val="24"/>
        </w:rPr>
      </w:pPr>
      <w:r>
        <w:rPr>
          <w:sz w:val="24"/>
          <w:szCs w:val="24"/>
        </w:rPr>
        <w:t>Revised guidance issued under section 182 of the Licensing Act 2003 (April 2018)</w:t>
      </w:r>
    </w:p>
    <w:p w:rsidR="00CB373D" w:rsidRDefault="00F20CEB" w:rsidP="00E56EC8">
      <w:pPr>
        <w:pStyle w:val="Infotext"/>
        <w:rPr>
          <w:sz w:val="24"/>
          <w:szCs w:val="24"/>
        </w:rPr>
      </w:pPr>
      <w:hyperlink r:id="rId10" w:history="1">
        <w:r w:rsidR="00D31413" w:rsidRPr="00B465FC">
          <w:rPr>
            <w:rStyle w:val="Hyperlink"/>
            <w:sz w:val="24"/>
            <w:szCs w:val="24"/>
          </w:rPr>
          <w:t>https://www.gov.uk/government/publications/explanatory-memorandum-revised-guidance-issued-under-s-182-of-licensing-act-2003</w:t>
        </w:r>
      </w:hyperlink>
    </w:p>
    <w:p w:rsidR="00D31413" w:rsidRDefault="00D31413" w:rsidP="00E56EC8">
      <w:pPr>
        <w:pStyle w:val="Infotext"/>
        <w:rPr>
          <w:sz w:val="24"/>
          <w:szCs w:val="24"/>
        </w:rPr>
      </w:pPr>
    </w:p>
    <w:p w:rsidR="00D31413" w:rsidRDefault="00D31413" w:rsidP="00E56EC8">
      <w:pPr>
        <w:pStyle w:val="Infotext"/>
        <w:rPr>
          <w:sz w:val="24"/>
          <w:szCs w:val="24"/>
        </w:rPr>
      </w:pPr>
      <w:r>
        <w:rPr>
          <w:sz w:val="24"/>
          <w:szCs w:val="24"/>
        </w:rPr>
        <w:t>Licensing Act 2003:</w:t>
      </w:r>
    </w:p>
    <w:p w:rsidR="00E56EC8" w:rsidRDefault="00F20CEB" w:rsidP="00E56EC8">
      <w:pPr>
        <w:pStyle w:val="Infotext"/>
      </w:pPr>
      <w:hyperlink r:id="rId11" w:history="1">
        <w:r w:rsidR="00D31413" w:rsidRPr="00B465FC">
          <w:rPr>
            <w:rStyle w:val="Hyperlink"/>
            <w:sz w:val="24"/>
            <w:szCs w:val="24"/>
          </w:rPr>
          <w:t>http://www.legislation.gov.uk/ukpga/2003/17/contents</w:t>
        </w:r>
      </w:hyperlink>
    </w:p>
    <w:sectPr w:rsidR="00E56EC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48" w:rsidRDefault="001A2448">
      <w:r>
        <w:separator/>
      </w:r>
    </w:p>
  </w:endnote>
  <w:endnote w:type="continuationSeparator" w:id="0">
    <w:p w:rsidR="001A2448" w:rsidRDefault="001A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48" w:rsidRDefault="001A2448">
      <w:r>
        <w:separator/>
      </w:r>
    </w:p>
  </w:footnote>
  <w:footnote w:type="continuationSeparator" w:id="0">
    <w:p w:rsidR="001A2448" w:rsidRDefault="001A2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55889"/>
    <w:multiLevelType w:val="hybridMultilevel"/>
    <w:tmpl w:val="8A069B8C"/>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2">
    <w:nsid w:val="01105F07"/>
    <w:multiLevelType w:val="multilevel"/>
    <w:tmpl w:val="B184A64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1E30AD6"/>
    <w:multiLevelType w:val="multilevel"/>
    <w:tmpl w:val="6616C3DE"/>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6000" w:hanging="1800"/>
      </w:pPr>
      <w:rPr>
        <w:rFonts w:hint="default"/>
      </w:rPr>
    </w:lvl>
    <w:lvl w:ilvl="8">
      <w:start w:val="1"/>
      <w:numFmt w:val="decimal"/>
      <w:isLgl/>
      <w:lvlText w:val="%1.%2.%3.%4.%5.%6.%7.%8.%9"/>
      <w:lvlJc w:val="left"/>
      <w:pPr>
        <w:ind w:left="6600" w:hanging="1800"/>
      </w:pPr>
      <w:rPr>
        <w:rFonts w:hint="default"/>
      </w:rPr>
    </w:lvl>
  </w:abstractNum>
  <w:abstractNum w:abstractNumId="4">
    <w:nsid w:val="08C63DB5"/>
    <w:multiLevelType w:val="hybridMultilevel"/>
    <w:tmpl w:val="DE84F578"/>
    <w:lvl w:ilvl="0" w:tplc="9C5CE626">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9FD4F05"/>
    <w:multiLevelType w:val="hybridMultilevel"/>
    <w:tmpl w:val="FCE6BA76"/>
    <w:lvl w:ilvl="0" w:tplc="B3868C8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8F03D1"/>
    <w:multiLevelType w:val="hybridMultilevel"/>
    <w:tmpl w:val="1E8081E8"/>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8">
    <w:nsid w:val="11231956"/>
    <w:multiLevelType w:val="multilevel"/>
    <w:tmpl w:val="FC2CDEB8"/>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927"/>
        </w:tabs>
        <w:ind w:left="851"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E85055A"/>
    <w:multiLevelType w:val="hybridMultilevel"/>
    <w:tmpl w:val="25F8F3F6"/>
    <w:lvl w:ilvl="0" w:tplc="026C5542">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6574CA"/>
    <w:multiLevelType w:val="hybridMultilevel"/>
    <w:tmpl w:val="811C8188"/>
    <w:lvl w:ilvl="0" w:tplc="5A7E26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4E7D0A"/>
    <w:multiLevelType w:val="hybridMultilevel"/>
    <w:tmpl w:val="89785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72908C7"/>
    <w:multiLevelType w:val="multilevel"/>
    <w:tmpl w:val="C05E6838"/>
    <w:lvl w:ilvl="0">
      <w:start w:val="2"/>
      <w:numFmt w:val="decimal"/>
      <w:lvlText w:val="%1"/>
      <w:lvlJc w:val="left"/>
      <w:pPr>
        <w:ind w:left="360" w:hanging="360"/>
      </w:pPr>
      <w:rPr>
        <w:rFonts w:hint="default"/>
      </w:rPr>
    </w:lvl>
    <w:lvl w:ilvl="1">
      <w:start w:val="4"/>
      <w:numFmt w:val="decimal"/>
      <w:lvlText w:val="%1.%2"/>
      <w:lvlJc w:val="left"/>
      <w:pPr>
        <w:ind w:left="1806" w:hanging="36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418" w:hanging="108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368" w:hanging="1800"/>
      </w:pPr>
      <w:rPr>
        <w:rFonts w:hint="default"/>
      </w:rPr>
    </w:lvl>
  </w:abstractNum>
  <w:abstractNum w:abstractNumId="14">
    <w:nsid w:val="27EA035B"/>
    <w:multiLevelType w:val="hybridMultilevel"/>
    <w:tmpl w:val="D848F7F6"/>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5">
    <w:nsid w:val="29710609"/>
    <w:multiLevelType w:val="multilevel"/>
    <w:tmpl w:val="674EB27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6">
    <w:nsid w:val="2DDC1A7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19271D"/>
    <w:multiLevelType w:val="hybridMultilevel"/>
    <w:tmpl w:val="C102DC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7475713"/>
    <w:multiLevelType w:val="multilevel"/>
    <w:tmpl w:val="0846A756"/>
    <w:lvl w:ilvl="0">
      <w:start w:val="2"/>
      <w:numFmt w:val="decimal"/>
      <w:lvlText w:val="%1."/>
      <w:lvlJc w:val="left"/>
      <w:pPr>
        <w:ind w:left="786" w:hanging="360"/>
      </w:pPr>
      <w:rPr>
        <w:rFonts w:hint="default"/>
      </w:rPr>
    </w:lvl>
    <w:lvl w:ilvl="1">
      <w:start w:val="2"/>
      <w:numFmt w:val="decimal"/>
      <w:isLgl/>
      <w:lvlText w:val="%1.%2"/>
      <w:lvlJc w:val="left"/>
      <w:pPr>
        <w:ind w:left="1806" w:hanging="360"/>
      </w:pPr>
      <w:rPr>
        <w:rFonts w:hint="default"/>
        <w:u w:val="single"/>
      </w:rPr>
    </w:lvl>
    <w:lvl w:ilvl="2">
      <w:start w:val="1"/>
      <w:numFmt w:val="decimal"/>
      <w:isLgl/>
      <w:lvlText w:val="%1.%2.%3"/>
      <w:lvlJc w:val="left"/>
      <w:pPr>
        <w:ind w:left="3186" w:hanging="720"/>
      </w:pPr>
      <w:rPr>
        <w:rFonts w:hint="default"/>
        <w:u w:val="single"/>
      </w:rPr>
    </w:lvl>
    <w:lvl w:ilvl="3">
      <w:start w:val="1"/>
      <w:numFmt w:val="decimal"/>
      <w:isLgl/>
      <w:lvlText w:val="%1.%2.%3.%4"/>
      <w:lvlJc w:val="left"/>
      <w:pPr>
        <w:ind w:left="4566" w:hanging="1080"/>
      </w:pPr>
      <w:rPr>
        <w:rFonts w:hint="default"/>
        <w:u w:val="single"/>
      </w:rPr>
    </w:lvl>
    <w:lvl w:ilvl="4">
      <w:start w:val="1"/>
      <w:numFmt w:val="decimal"/>
      <w:isLgl/>
      <w:lvlText w:val="%1.%2.%3.%4.%5"/>
      <w:lvlJc w:val="left"/>
      <w:pPr>
        <w:ind w:left="5586" w:hanging="1080"/>
      </w:pPr>
      <w:rPr>
        <w:rFonts w:hint="default"/>
        <w:u w:val="single"/>
      </w:rPr>
    </w:lvl>
    <w:lvl w:ilvl="5">
      <w:start w:val="1"/>
      <w:numFmt w:val="decimal"/>
      <w:isLgl/>
      <w:lvlText w:val="%1.%2.%3.%4.%5.%6"/>
      <w:lvlJc w:val="left"/>
      <w:pPr>
        <w:ind w:left="6966" w:hanging="1440"/>
      </w:pPr>
      <w:rPr>
        <w:rFonts w:hint="default"/>
        <w:u w:val="single"/>
      </w:rPr>
    </w:lvl>
    <w:lvl w:ilvl="6">
      <w:start w:val="1"/>
      <w:numFmt w:val="decimal"/>
      <w:isLgl/>
      <w:lvlText w:val="%1.%2.%3.%4.%5.%6.%7"/>
      <w:lvlJc w:val="left"/>
      <w:pPr>
        <w:ind w:left="7986" w:hanging="1440"/>
      </w:pPr>
      <w:rPr>
        <w:rFonts w:hint="default"/>
        <w:u w:val="single"/>
      </w:rPr>
    </w:lvl>
    <w:lvl w:ilvl="7">
      <w:start w:val="1"/>
      <w:numFmt w:val="decimal"/>
      <w:isLgl/>
      <w:lvlText w:val="%1.%2.%3.%4.%5.%6.%7.%8"/>
      <w:lvlJc w:val="left"/>
      <w:pPr>
        <w:ind w:left="9366" w:hanging="1800"/>
      </w:pPr>
      <w:rPr>
        <w:rFonts w:hint="default"/>
        <w:u w:val="single"/>
      </w:rPr>
    </w:lvl>
    <w:lvl w:ilvl="8">
      <w:start w:val="1"/>
      <w:numFmt w:val="decimal"/>
      <w:isLgl/>
      <w:lvlText w:val="%1.%2.%3.%4.%5.%6.%7.%8.%9"/>
      <w:lvlJc w:val="left"/>
      <w:pPr>
        <w:ind w:left="10386" w:hanging="1800"/>
      </w:pPr>
      <w:rPr>
        <w:rFonts w:hint="default"/>
        <w:u w:val="single"/>
      </w:rPr>
    </w:lvl>
  </w:abstractNum>
  <w:abstractNum w:abstractNumId="19">
    <w:nsid w:val="391B781E"/>
    <w:multiLevelType w:val="hybridMultilevel"/>
    <w:tmpl w:val="C980D152"/>
    <w:lvl w:ilvl="0" w:tplc="0DF6EF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2E2678"/>
    <w:multiLevelType w:val="hybridMultilevel"/>
    <w:tmpl w:val="EB326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1DC4C24"/>
    <w:multiLevelType w:val="multilevel"/>
    <w:tmpl w:val="F72839EA"/>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6000" w:hanging="1800"/>
      </w:pPr>
      <w:rPr>
        <w:rFonts w:hint="default"/>
      </w:rPr>
    </w:lvl>
    <w:lvl w:ilvl="8">
      <w:start w:val="1"/>
      <w:numFmt w:val="decimal"/>
      <w:isLgl/>
      <w:lvlText w:val="%1.%2.%3.%4.%5.%6.%7.%8.%9"/>
      <w:lvlJc w:val="left"/>
      <w:pPr>
        <w:ind w:left="6600" w:hanging="1800"/>
      </w:pPr>
      <w:rPr>
        <w:rFonts w:hint="default"/>
      </w:rPr>
    </w:lvl>
  </w:abstractNum>
  <w:abstractNum w:abstractNumId="22">
    <w:nsid w:val="45AB6A71"/>
    <w:multiLevelType w:val="hybridMultilevel"/>
    <w:tmpl w:val="4F1E8F0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nsid w:val="481500D5"/>
    <w:multiLevelType w:val="hybridMultilevel"/>
    <w:tmpl w:val="582A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382704"/>
    <w:multiLevelType w:val="hybridMultilevel"/>
    <w:tmpl w:val="1E26FC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E013A27"/>
    <w:multiLevelType w:val="hybridMultilevel"/>
    <w:tmpl w:val="2F984050"/>
    <w:lvl w:ilvl="0" w:tplc="5A7E26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873AEB"/>
    <w:multiLevelType w:val="multilevel"/>
    <w:tmpl w:val="2DB866DC"/>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52072936"/>
    <w:multiLevelType w:val="hybridMultilevel"/>
    <w:tmpl w:val="4D4483B8"/>
    <w:lvl w:ilvl="0" w:tplc="5A7E26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78033F"/>
    <w:multiLevelType w:val="multilevel"/>
    <w:tmpl w:val="86169D8C"/>
    <w:lvl w:ilvl="0">
      <w:start w:val="2"/>
      <w:numFmt w:val="decimal"/>
      <w:lvlText w:val="%1"/>
      <w:lvlJc w:val="left"/>
      <w:pPr>
        <w:ind w:left="360" w:hanging="360"/>
      </w:pPr>
      <w:rPr>
        <w:rFonts w:hint="default"/>
        <w:u w:val="single"/>
      </w:rPr>
    </w:lvl>
    <w:lvl w:ilvl="1">
      <w:start w:val="2"/>
      <w:numFmt w:val="decimal"/>
      <w:lvlText w:val="%1.%2"/>
      <w:lvlJc w:val="left"/>
      <w:pPr>
        <w:ind w:left="1086" w:hanging="360"/>
      </w:pPr>
      <w:rPr>
        <w:rFonts w:hint="default"/>
        <w:u w:val="single"/>
      </w:rPr>
    </w:lvl>
    <w:lvl w:ilvl="2">
      <w:start w:val="1"/>
      <w:numFmt w:val="decimal"/>
      <w:lvlText w:val="%1.%2.%3"/>
      <w:lvlJc w:val="left"/>
      <w:pPr>
        <w:ind w:left="2172" w:hanging="720"/>
      </w:pPr>
      <w:rPr>
        <w:rFonts w:hint="default"/>
        <w:u w:val="single"/>
      </w:rPr>
    </w:lvl>
    <w:lvl w:ilvl="3">
      <w:start w:val="1"/>
      <w:numFmt w:val="decimal"/>
      <w:lvlText w:val="%1.%2.%3.%4"/>
      <w:lvlJc w:val="left"/>
      <w:pPr>
        <w:ind w:left="3258" w:hanging="1080"/>
      </w:pPr>
      <w:rPr>
        <w:rFonts w:hint="default"/>
        <w:u w:val="single"/>
      </w:rPr>
    </w:lvl>
    <w:lvl w:ilvl="4">
      <w:start w:val="1"/>
      <w:numFmt w:val="decimal"/>
      <w:lvlText w:val="%1.%2.%3.%4.%5"/>
      <w:lvlJc w:val="left"/>
      <w:pPr>
        <w:ind w:left="3984" w:hanging="1080"/>
      </w:pPr>
      <w:rPr>
        <w:rFonts w:hint="default"/>
        <w:u w:val="single"/>
      </w:rPr>
    </w:lvl>
    <w:lvl w:ilvl="5">
      <w:start w:val="1"/>
      <w:numFmt w:val="decimal"/>
      <w:lvlText w:val="%1.%2.%3.%4.%5.%6"/>
      <w:lvlJc w:val="left"/>
      <w:pPr>
        <w:ind w:left="5070" w:hanging="1440"/>
      </w:pPr>
      <w:rPr>
        <w:rFonts w:hint="default"/>
        <w:u w:val="single"/>
      </w:rPr>
    </w:lvl>
    <w:lvl w:ilvl="6">
      <w:start w:val="1"/>
      <w:numFmt w:val="decimal"/>
      <w:lvlText w:val="%1.%2.%3.%4.%5.%6.%7"/>
      <w:lvlJc w:val="left"/>
      <w:pPr>
        <w:ind w:left="5796" w:hanging="1440"/>
      </w:pPr>
      <w:rPr>
        <w:rFonts w:hint="default"/>
        <w:u w:val="single"/>
      </w:rPr>
    </w:lvl>
    <w:lvl w:ilvl="7">
      <w:start w:val="1"/>
      <w:numFmt w:val="decimal"/>
      <w:lvlText w:val="%1.%2.%3.%4.%5.%6.%7.%8"/>
      <w:lvlJc w:val="left"/>
      <w:pPr>
        <w:ind w:left="6882" w:hanging="1800"/>
      </w:pPr>
      <w:rPr>
        <w:rFonts w:hint="default"/>
        <w:u w:val="single"/>
      </w:rPr>
    </w:lvl>
    <w:lvl w:ilvl="8">
      <w:start w:val="1"/>
      <w:numFmt w:val="decimal"/>
      <w:lvlText w:val="%1.%2.%3.%4.%5.%6.%7.%8.%9"/>
      <w:lvlJc w:val="left"/>
      <w:pPr>
        <w:ind w:left="7608" w:hanging="1800"/>
      </w:pPr>
      <w:rPr>
        <w:rFonts w:hint="default"/>
        <w:u w:val="single"/>
      </w:rPr>
    </w:lvl>
  </w:abstractNum>
  <w:abstractNum w:abstractNumId="31">
    <w:nsid w:val="558C1B63"/>
    <w:multiLevelType w:val="hybridMultilevel"/>
    <w:tmpl w:val="8A2884A0"/>
    <w:lvl w:ilvl="0" w:tplc="7F78B4A6">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7773DFC"/>
    <w:multiLevelType w:val="hybridMultilevel"/>
    <w:tmpl w:val="ACB88572"/>
    <w:lvl w:ilvl="0" w:tplc="ABCEAB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94E4143"/>
    <w:multiLevelType w:val="multilevel"/>
    <w:tmpl w:val="E410F1C6"/>
    <w:lvl w:ilvl="0">
      <w:start w:val="8"/>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4">
    <w:nsid w:val="60E86CBF"/>
    <w:multiLevelType w:val="hybridMultilevel"/>
    <w:tmpl w:val="3972546C"/>
    <w:lvl w:ilvl="0" w:tplc="0DF6EF7E">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777144"/>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D744F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1DC5DE1"/>
    <w:multiLevelType w:val="hybridMultilevel"/>
    <w:tmpl w:val="6F767A92"/>
    <w:lvl w:ilvl="0" w:tplc="0DF6EF7E">
      <w:start w:val="3"/>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9">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25"/>
  </w:num>
  <w:num w:numId="3">
    <w:abstractNumId w:val="0"/>
  </w:num>
  <w:num w:numId="4">
    <w:abstractNumId w:val="6"/>
  </w:num>
  <w:num w:numId="5">
    <w:abstractNumId w:val="39"/>
  </w:num>
  <w:num w:numId="6">
    <w:abstractNumId w:val="26"/>
  </w:num>
  <w:num w:numId="7">
    <w:abstractNumId w:val="12"/>
  </w:num>
  <w:num w:numId="8">
    <w:abstractNumId w:val="8"/>
  </w:num>
  <w:num w:numId="9">
    <w:abstractNumId w:val="1"/>
  </w:num>
  <w:num w:numId="10">
    <w:abstractNumId w:val="36"/>
  </w:num>
  <w:num w:numId="11">
    <w:abstractNumId w:val="7"/>
  </w:num>
  <w:num w:numId="12">
    <w:abstractNumId w:val="16"/>
  </w:num>
  <w:num w:numId="13">
    <w:abstractNumId w:val="37"/>
  </w:num>
  <w:num w:numId="14">
    <w:abstractNumId w:val="18"/>
  </w:num>
  <w:num w:numId="15">
    <w:abstractNumId w:val="32"/>
  </w:num>
  <w:num w:numId="16">
    <w:abstractNumId w:val="24"/>
  </w:num>
  <w:num w:numId="17">
    <w:abstractNumId w:val="31"/>
  </w:num>
  <w:num w:numId="18">
    <w:abstractNumId w:val="4"/>
  </w:num>
  <w:num w:numId="19">
    <w:abstractNumId w:val="11"/>
  </w:num>
  <w:num w:numId="20">
    <w:abstractNumId w:val="22"/>
  </w:num>
  <w:num w:numId="21">
    <w:abstractNumId w:val="30"/>
  </w:num>
  <w:num w:numId="22">
    <w:abstractNumId w:val="13"/>
  </w:num>
  <w:num w:numId="23">
    <w:abstractNumId w:val="15"/>
  </w:num>
  <w:num w:numId="24">
    <w:abstractNumId w:val="3"/>
  </w:num>
  <w:num w:numId="25">
    <w:abstractNumId w:val="20"/>
  </w:num>
  <w:num w:numId="26">
    <w:abstractNumId w:val="29"/>
  </w:num>
  <w:num w:numId="27">
    <w:abstractNumId w:val="10"/>
  </w:num>
  <w:num w:numId="28">
    <w:abstractNumId w:val="27"/>
  </w:num>
  <w:num w:numId="29">
    <w:abstractNumId w:val="33"/>
  </w:num>
  <w:num w:numId="30">
    <w:abstractNumId w:val="23"/>
  </w:num>
  <w:num w:numId="31">
    <w:abstractNumId w:val="9"/>
  </w:num>
  <w:num w:numId="32">
    <w:abstractNumId w:val="5"/>
  </w:num>
  <w:num w:numId="33">
    <w:abstractNumId w:val="17"/>
  </w:num>
  <w:num w:numId="34">
    <w:abstractNumId w:val="28"/>
  </w:num>
  <w:num w:numId="35">
    <w:abstractNumId w:val="2"/>
  </w:num>
  <w:num w:numId="36">
    <w:abstractNumId w:val="14"/>
  </w:num>
  <w:num w:numId="37">
    <w:abstractNumId w:val="38"/>
  </w:num>
  <w:num w:numId="38">
    <w:abstractNumId w:val="19"/>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4/06/2019 16:45"/>
  </w:docVars>
  <w:rsids>
    <w:rsidRoot w:val="002D4B55"/>
    <w:rsid w:val="00011AC3"/>
    <w:rsid w:val="0001357D"/>
    <w:rsid w:val="00023098"/>
    <w:rsid w:val="0002728A"/>
    <w:rsid w:val="0003178C"/>
    <w:rsid w:val="00033F05"/>
    <w:rsid w:val="00034B71"/>
    <w:rsid w:val="000443C5"/>
    <w:rsid w:val="0005396A"/>
    <w:rsid w:val="000604A2"/>
    <w:rsid w:val="000731BC"/>
    <w:rsid w:val="000A55A6"/>
    <w:rsid w:val="000C7C66"/>
    <w:rsid w:val="000D0467"/>
    <w:rsid w:val="001024BB"/>
    <w:rsid w:val="00104F4B"/>
    <w:rsid w:val="001075CF"/>
    <w:rsid w:val="00111C79"/>
    <w:rsid w:val="00120647"/>
    <w:rsid w:val="001271D4"/>
    <w:rsid w:val="001650CC"/>
    <w:rsid w:val="00167D9B"/>
    <w:rsid w:val="001A2448"/>
    <w:rsid w:val="001B6D6E"/>
    <w:rsid w:val="001C4C01"/>
    <w:rsid w:val="00255F97"/>
    <w:rsid w:val="00297D54"/>
    <w:rsid w:val="002A4446"/>
    <w:rsid w:val="002A76A1"/>
    <w:rsid w:val="002C0FCA"/>
    <w:rsid w:val="002C2697"/>
    <w:rsid w:val="002D4B55"/>
    <w:rsid w:val="002F3847"/>
    <w:rsid w:val="002F391F"/>
    <w:rsid w:val="00303952"/>
    <w:rsid w:val="003235D1"/>
    <w:rsid w:val="00335462"/>
    <w:rsid w:val="00335DD6"/>
    <w:rsid w:val="00336EAA"/>
    <w:rsid w:val="003456BD"/>
    <w:rsid w:val="0035081A"/>
    <w:rsid w:val="00370424"/>
    <w:rsid w:val="003A15A7"/>
    <w:rsid w:val="003A253A"/>
    <w:rsid w:val="003B1D56"/>
    <w:rsid w:val="003B7DE3"/>
    <w:rsid w:val="003C0C20"/>
    <w:rsid w:val="003C1DA8"/>
    <w:rsid w:val="003C37F3"/>
    <w:rsid w:val="00401CEE"/>
    <w:rsid w:val="004027F3"/>
    <w:rsid w:val="004572EA"/>
    <w:rsid w:val="00465254"/>
    <w:rsid w:val="00493F88"/>
    <w:rsid w:val="004A2485"/>
    <w:rsid w:val="004A707B"/>
    <w:rsid w:val="004B7FC0"/>
    <w:rsid w:val="004F1D56"/>
    <w:rsid w:val="004F6585"/>
    <w:rsid w:val="00533966"/>
    <w:rsid w:val="00535F7C"/>
    <w:rsid w:val="0054349B"/>
    <w:rsid w:val="00545DC3"/>
    <w:rsid w:val="00552B11"/>
    <w:rsid w:val="00587AB5"/>
    <w:rsid w:val="005B4552"/>
    <w:rsid w:val="005E3DBD"/>
    <w:rsid w:val="00601BE5"/>
    <w:rsid w:val="006248F9"/>
    <w:rsid w:val="00625D40"/>
    <w:rsid w:val="0066641B"/>
    <w:rsid w:val="00680ADD"/>
    <w:rsid w:val="006A14A7"/>
    <w:rsid w:val="006A233E"/>
    <w:rsid w:val="006A3B0F"/>
    <w:rsid w:val="006E012E"/>
    <w:rsid w:val="006E2D8A"/>
    <w:rsid w:val="00716981"/>
    <w:rsid w:val="00753426"/>
    <w:rsid w:val="007563D9"/>
    <w:rsid w:val="0075644A"/>
    <w:rsid w:val="007623D9"/>
    <w:rsid w:val="007959D0"/>
    <w:rsid w:val="00797772"/>
    <w:rsid w:val="007C1869"/>
    <w:rsid w:val="007C71D1"/>
    <w:rsid w:val="007D1392"/>
    <w:rsid w:val="007D272A"/>
    <w:rsid w:val="007D2AB0"/>
    <w:rsid w:val="00800679"/>
    <w:rsid w:val="00804B6F"/>
    <w:rsid w:val="00807DD0"/>
    <w:rsid w:val="00817B28"/>
    <w:rsid w:val="00830B1F"/>
    <w:rsid w:val="00832CC0"/>
    <w:rsid w:val="008625BF"/>
    <w:rsid w:val="008652B2"/>
    <w:rsid w:val="00876EE9"/>
    <w:rsid w:val="00897AD5"/>
    <w:rsid w:val="008A5958"/>
    <w:rsid w:val="008B4AF4"/>
    <w:rsid w:val="008B4E8D"/>
    <w:rsid w:val="008B7EAD"/>
    <w:rsid w:val="008C45A2"/>
    <w:rsid w:val="008F0C6A"/>
    <w:rsid w:val="00906C40"/>
    <w:rsid w:val="00907DFD"/>
    <w:rsid w:val="00911565"/>
    <w:rsid w:val="009264CB"/>
    <w:rsid w:val="00927C6A"/>
    <w:rsid w:val="0093337B"/>
    <w:rsid w:val="009462B7"/>
    <w:rsid w:val="009A7188"/>
    <w:rsid w:val="009A7211"/>
    <w:rsid w:val="009B05ED"/>
    <w:rsid w:val="009C2FDF"/>
    <w:rsid w:val="009E35BF"/>
    <w:rsid w:val="009F4F49"/>
    <w:rsid w:val="009F6391"/>
    <w:rsid w:val="00A02289"/>
    <w:rsid w:val="00A14EC5"/>
    <w:rsid w:val="00A2249B"/>
    <w:rsid w:val="00A320CC"/>
    <w:rsid w:val="00A41CE3"/>
    <w:rsid w:val="00A4380F"/>
    <w:rsid w:val="00A47339"/>
    <w:rsid w:val="00A55D41"/>
    <w:rsid w:val="00A70699"/>
    <w:rsid w:val="00A818E8"/>
    <w:rsid w:val="00A952E6"/>
    <w:rsid w:val="00AB72E0"/>
    <w:rsid w:val="00AC1C79"/>
    <w:rsid w:val="00AC2D51"/>
    <w:rsid w:val="00AC4D33"/>
    <w:rsid w:val="00AD66FD"/>
    <w:rsid w:val="00B02881"/>
    <w:rsid w:val="00B43855"/>
    <w:rsid w:val="00B47140"/>
    <w:rsid w:val="00B62BC6"/>
    <w:rsid w:val="00BB7A89"/>
    <w:rsid w:val="00BD1305"/>
    <w:rsid w:val="00BF3954"/>
    <w:rsid w:val="00C242AD"/>
    <w:rsid w:val="00C24C28"/>
    <w:rsid w:val="00C27CF0"/>
    <w:rsid w:val="00C302C5"/>
    <w:rsid w:val="00C42834"/>
    <w:rsid w:val="00C72835"/>
    <w:rsid w:val="00C73EC0"/>
    <w:rsid w:val="00CA4255"/>
    <w:rsid w:val="00CA6B14"/>
    <w:rsid w:val="00CA6C61"/>
    <w:rsid w:val="00CB373D"/>
    <w:rsid w:val="00CB6B7C"/>
    <w:rsid w:val="00CC6BFF"/>
    <w:rsid w:val="00CD3212"/>
    <w:rsid w:val="00D227F5"/>
    <w:rsid w:val="00D31413"/>
    <w:rsid w:val="00D4343B"/>
    <w:rsid w:val="00D62BA5"/>
    <w:rsid w:val="00D64996"/>
    <w:rsid w:val="00D81F78"/>
    <w:rsid w:val="00DA1035"/>
    <w:rsid w:val="00DB236C"/>
    <w:rsid w:val="00DC3DCC"/>
    <w:rsid w:val="00DC61A8"/>
    <w:rsid w:val="00DD0395"/>
    <w:rsid w:val="00DE06F1"/>
    <w:rsid w:val="00E16E20"/>
    <w:rsid w:val="00E34B6E"/>
    <w:rsid w:val="00E56EC8"/>
    <w:rsid w:val="00EA1637"/>
    <w:rsid w:val="00EA42C6"/>
    <w:rsid w:val="00EC069A"/>
    <w:rsid w:val="00ED1F6C"/>
    <w:rsid w:val="00ED49A1"/>
    <w:rsid w:val="00EE1231"/>
    <w:rsid w:val="00EE1D64"/>
    <w:rsid w:val="00EF10B5"/>
    <w:rsid w:val="00F127F4"/>
    <w:rsid w:val="00F37471"/>
    <w:rsid w:val="00F376AE"/>
    <w:rsid w:val="00F54671"/>
    <w:rsid w:val="00F663F3"/>
    <w:rsid w:val="00F878FE"/>
    <w:rsid w:val="00FB0377"/>
    <w:rsid w:val="00FB52CF"/>
    <w:rsid w:val="00FD1DBB"/>
    <w:rsid w:val="00FD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D31413"/>
    <w:rPr>
      <w:color w:val="0000FF" w:themeColor="hyperlink"/>
      <w:u w:val="single"/>
    </w:rPr>
  </w:style>
  <w:style w:type="character" w:styleId="FollowedHyperlink">
    <w:name w:val="FollowedHyperlink"/>
    <w:basedOn w:val="DefaultParagraphFont"/>
    <w:rsid w:val="00D31413"/>
    <w:rPr>
      <w:color w:val="800080" w:themeColor="followedHyperlink"/>
      <w:u w:val="single"/>
    </w:rPr>
  </w:style>
  <w:style w:type="character" w:styleId="CommentReference">
    <w:name w:val="annotation reference"/>
    <w:basedOn w:val="DefaultParagraphFont"/>
    <w:rsid w:val="00897AD5"/>
    <w:rPr>
      <w:sz w:val="16"/>
      <w:szCs w:val="16"/>
    </w:rPr>
  </w:style>
  <w:style w:type="paragraph" w:styleId="CommentText">
    <w:name w:val="annotation text"/>
    <w:basedOn w:val="Normal"/>
    <w:link w:val="CommentTextChar"/>
    <w:rsid w:val="00897AD5"/>
    <w:rPr>
      <w:sz w:val="20"/>
    </w:rPr>
  </w:style>
  <w:style w:type="character" w:customStyle="1" w:styleId="CommentTextChar">
    <w:name w:val="Comment Text Char"/>
    <w:basedOn w:val="DefaultParagraphFont"/>
    <w:link w:val="CommentText"/>
    <w:rsid w:val="00897AD5"/>
    <w:rPr>
      <w:rFonts w:ascii="Arial" w:hAnsi="Arial"/>
      <w:lang w:eastAsia="en-US"/>
    </w:rPr>
  </w:style>
  <w:style w:type="paragraph" w:styleId="CommentSubject">
    <w:name w:val="annotation subject"/>
    <w:basedOn w:val="CommentText"/>
    <w:next w:val="CommentText"/>
    <w:link w:val="CommentSubjectChar"/>
    <w:rsid w:val="00897AD5"/>
    <w:rPr>
      <w:b/>
      <w:bCs/>
    </w:rPr>
  </w:style>
  <w:style w:type="character" w:customStyle="1" w:styleId="CommentSubjectChar">
    <w:name w:val="Comment Subject Char"/>
    <w:basedOn w:val="CommentTextChar"/>
    <w:link w:val="CommentSubject"/>
    <w:rsid w:val="00897AD5"/>
    <w:rPr>
      <w:rFonts w:ascii="Arial" w:hAnsi="Arial"/>
      <w:b/>
      <w:bCs/>
      <w:lang w:eastAsia="en-US"/>
    </w:rPr>
  </w:style>
  <w:style w:type="table" w:styleId="TableGrid">
    <w:name w:val="Table Grid"/>
    <w:basedOn w:val="TableNormal"/>
    <w:rsid w:val="0030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EC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D31413"/>
    <w:rPr>
      <w:color w:val="0000FF" w:themeColor="hyperlink"/>
      <w:u w:val="single"/>
    </w:rPr>
  </w:style>
  <w:style w:type="character" w:styleId="FollowedHyperlink">
    <w:name w:val="FollowedHyperlink"/>
    <w:basedOn w:val="DefaultParagraphFont"/>
    <w:rsid w:val="00D31413"/>
    <w:rPr>
      <w:color w:val="800080" w:themeColor="followedHyperlink"/>
      <w:u w:val="single"/>
    </w:rPr>
  </w:style>
  <w:style w:type="character" w:styleId="CommentReference">
    <w:name w:val="annotation reference"/>
    <w:basedOn w:val="DefaultParagraphFont"/>
    <w:rsid w:val="00897AD5"/>
    <w:rPr>
      <w:sz w:val="16"/>
      <w:szCs w:val="16"/>
    </w:rPr>
  </w:style>
  <w:style w:type="paragraph" w:styleId="CommentText">
    <w:name w:val="annotation text"/>
    <w:basedOn w:val="Normal"/>
    <w:link w:val="CommentTextChar"/>
    <w:rsid w:val="00897AD5"/>
    <w:rPr>
      <w:sz w:val="20"/>
    </w:rPr>
  </w:style>
  <w:style w:type="character" w:customStyle="1" w:styleId="CommentTextChar">
    <w:name w:val="Comment Text Char"/>
    <w:basedOn w:val="DefaultParagraphFont"/>
    <w:link w:val="CommentText"/>
    <w:rsid w:val="00897AD5"/>
    <w:rPr>
      <w:rFonts w:ascii="Arial" w:hAnsi="Arial"/>
      <w:lang w:eastAsia="en-US"/>
    </w:rPr>
  </w:style>
  <w:style w:type="paragraph" w:styleId="CommentSubject">
    <w:name w:val="annotation subject"/>
    <w:basedOn w:val="CommentText"/>
    <w:next w:val="CommentText"/>
    <w:link w:val="CommentSubjectChar"/>
    <w:rsid w:val="00897AD5"/>
    <w:rPr>
      <w:b/>
      <w:bCs/>
    </w:rPr>
  </w:style>
  <w:style w:type="character" w:customStyle="1" w:styleId="CommentSubjectChar">
    <w:name w:val="Comment Subject Char"/>
    <w:basedOn w:val="CommentTextChar"/>
    <w:link w:val="CommentSubject"/>
    <w:rsid w:val="00897AD5"/>
    <w:rPr>
      <w:rFonts w:ascii="Arial" w:hAnsi="Arial"/>
      <w:b/>
      <w:bCs/>
      <w:lang w:eastAsia="en-US"/>
    </w:rPr>
  </w:style>
  <w:style w:type="table" w:styleId="TableGrid">
    <w:name w:val="Table Grid"/>
    <w:basedOn w:val="TableNormal"/>
    <w:rsid w:val="0030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E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00559">
      <w:bodyDiv w:val="1"/>
      <w:marLeft w:val="0"/>
      <w:marRight w:val="0"/>
      <w:marTop w:val="0"/>
      <w:marBottom w:val="0"/>
      <w:divBdr>
        <w:top w:val="none" w:sz="0" w:space="0" w:color="auto"/>
        <w:left w:val="none" w:sz="0" w:space="0" w:color="auto"/>
        <w:bottom w:val="none" w:sz="0" w:space="0" w:color="auto"/>
        <w:right w:val="none" w:sz="0" w:space="0" w:color="auto"/>
      </w:divBdr>
    </w:div>
    <w:div w:id="1920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3/17/contents" TargetMode="External"/><Relationship Id="rId5" Type="http://schemas.openxmlformats.org/officeDocument/2006/relationships/settings" Target="settings.xml"/><Relationship Id="rId10" Type="http://schemas.openxmlformats.org/officeDocument/2006/relationships/hyperlink" Target="https://www.gov.uk/government/publications/explanatory-memorandum-revised-guidance-issued-under-s-182-of-licensing-act-200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C729-B121-4A4B-B1AE-AA2BBC27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2336</Words>
  <Characters>13032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Miriam Wearing</cp:lastModifiedBy>
  <cp:revision>2</cp:revision>
  <cp:lastPrinted>2020-01-06T18:20:00Z</cp:lastPrinted>
  <dcterms:created xsi:type="dcterms:W3CDTF">2020-01-08T15:21:00Z</dcterms:created>
  <dcterms:modified xsi:type="dcterms:W3CDTF">2020-01-08T15:21:00Z</dcterms:modified>
</cp:coreProperties>
</file>